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620" w:lineRule="exact"/>
        <w:jc w:val="center"/>
        <w:textAlignment w:val="auto"/>
        <w:rPr>
          <w:rFonts w:eastAsia="方正小标宋_GBK"/>
          <w:bCs/>
          <w:color w:val="FF0000"/>
          <w:sz w:val="44"/>
          <w:szCs w:val="44"/>
        </w:rPr>
      </w:pPr>
    </w:p>
    <w:p>
      <w:pPr>
        <w:keepNext w:val="0"/>
        <w:keepLines w:val="0"/>
        <w:pageBreakBefore w:val="0"/>
        <w:widowControl w:val="0"/>
        <w:kinsoku/>
        <w:overflowPunct/>
        <w:topLinePunct w:val="0"/>
        <w:autoSpaceDE/>
        <w:autoSpaceDN/>
        <w:bidi w:val="0"/>
        <w:adjustRightInd/>
        <w:snapToGrid/>
        <w:spacing w:line="620" w:lineRule="exact"/>
        <w:jc w:val="center"/>
        <w:textAlignment w:val="auto"/>
        <w:rPr>
          <w:rFonts w:eastAsia="方正小标宋_GBK"/>
          <w:bCs/>
          <w:color w:val="auto"/>
          <w:sz w:val="44"/>
          <w:szCs w:val="44"/>
        </w:rPr>
      </w:pPr>
      <w:bookmarkStart w:id="0" w:name="_GoBack"/>
      <w:r>
        <w:rPr>
          <w:rFonts w:eastAsia="方正小标宋_GBK"/>
          <w:bCs/>
          <w:color w:val="auto"/>
          <w:sz w:val="44"/>
          <w:szCs w:val="44"/>
        </w:rPr>
        <w:t>开封市消防救援支队  开封市公安局</w:t>
      </w:r>
    </w:p>
    <w:p>
      <w:pPr>
        <w:keepNext w:val="0"/>
        <w:keepLines w:val="0"/>
        <w:pageBreakBefore w:val="0"/>
        <w:widowControl w:val="0"/>
        <w:kinsoku/>
        <w:overflowPunct/>
        <w:topLinePunct w:val="0"/>
        <w:autoSpaceDE/>
        <w:autoSpaceDN/>
        <w:bidi w:val="0"/>
        <w:adjustRightInd/>
        <w:snapToGrid/>
        <w:spacing w:line="620" w:lineRule="exact"/>
        <w:jc w:val="center"/>
        <w:textAlignment w:val="auto"/>
        <w:rPr>
          <w:rFonts w:eastAsia="方正小标宋_GBK"/>
          <w:bCs/>
          <w:color w:val="auto"/>
          <w:sz w:val="44"/>
          <w:szCs w:val="44"/>
        </w:rPr>
      </w:pPr>
      <w:r>
        <w:rPr>
          <w:rFonts w:hint="eastAsia" w:eastAsia="方正小标宋_GBK"/>
          <w:bCs/>
          <w:color w:val="auto"/>
          <w:sz w:val="44"/>
          <w:szCs w:val="44"/>
        </w:rPr>
        <w:t>20</w:t>
      </w:r>
      <w:r>
        <w:rPr>
          <w:rFonts w:hint="eastAsia" w:eastAsia="方正小标宋_GBK"/>
          <w:bCs/>
          <w:color w:val="auto"/>
          <w:sz w:val="44"/>
          <w:szCs w:val="44"/>
          <w:lang w:val="en-US" w:eastAsia="zh-CN"/>
        </w:rPr>
        <w:t>23</w:t>
      </w:r>
      <w:r>
        <w:rPr>
          <w:rFonts w:hint="eastAsia" w:eastAsia="方正小标宋_GBK"/>
          <w:bCs/>
          <w:color w:val="auto"/>
          <w:sz w:val="44"/>
          <w:szCs w:val="44"/>
        </w:rPr>
        <w:t>年全市消防安全重点单位申报备案工作公</w:t>
      </w:r>
      <w:r>
        <w:rPr>
          <w:rFonts w:hint="eastAsia" w:eastAsia="方正小标宋_GBK"/>
          <w:bCs/>
          <w:color w:val="auto"/>
          <w:sz w:val="44"/>
          <w:szCs w:val="44"/>
          <w:lang w:val="en-US" w:eastAsia="zh-CN"/>
        </w:rPr>
        <w:t xml:space="preserve">  </w:t>
      </w:r>
      <w:r>
        <w:rPr>
          <w:rFonts w:hint="eastAsia" w:eastAsia="方正小标宋_GBK"/>
          <w:bCs/>
          <w:color w:val="auto"/>
          <w:sz w:val="44"/>
          <w:szCs w:val="44"/>
        </w:rPr>
        <w:t>告</w:t>
      </w:r>
    </w:p>
    <w:bookmarkEnd w:id="0"/>
    <w:p>
      <w:pPr>
        <w:keepNext w:val="0"/>
        <w:keepLines w:val="0"/>
        <w:pageBreakBefore w:val="0"/>
        <w:widowControl w:val="0"/>
        <w:kinsoku/>
        <w:overflowPunct/>
        <w:topLinePunct w:val="0"/>
        <w:autoSpaceDE/>
        <w:autoSpaceDN/>
        <w:bidi w:val="0"/>
        <w:adjustRightInd/>
        <w:snapToGrid/>
        <w:spacing w:line="620" w:lineRule="exact"/>
        <w:ind w:firstLine="836" w:firstLineChars="200"/>
        <w:jc w:val="center"/>
        <w:textAlignment w:val="auto"/>
        <w:rPr>
          <w:rFonts w:eastAsia="方正小标宋_GBK"/>
          <w:color w:val="auto"/>
          <w:w w:val="95"/>
          <w:sz w:val="44"/>
          <w:szCs w:val="44"/>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eastAsia="方正仿宋_GBK"/>
          <w:color w:val="auto"/>
          <w:w w:val="100"/>
          <w:sz w:val="32"/>
        </w:rPr>
      </w:pPr>
      <w:r>
        <w:rPr>
          <w:rFonts w:hint="eastAsia" w:eastAsia="方正仿宋_GBK"/>
          <w:color w:val="auto"/>
          <w:w w:val="100"/>
          <w:sz w:val="32"/>
        </w:rPr>
        <w:t>为加强和规范机关、团体、企业、事业单位的消防安全管理，</w:t>
      </w:r>
      <w:r>
        <w:rPr>
          <w:rFonts w:eastAsia="方正仿宋_GBK"/>
          <w:color w:val="auto"/>
          <w:w w:val="100"/>
          <w:sz w:val="32"/>
        </w:rPr>
        <w:t>依据《中华人民共和国消防法》《河南省消防条例》《河南省消防安全责任制实施办法》等法律法规规定以及《关于加强改革过渡期间消防监督执法的通知》（豫公通〔2019〕180号）要求，</w:t>
      </w:r>
      <w:r>
        <w:rPr>
          <w:rFonts w:hint="eastAsia" w:eastAsia="方正仿宋_GBK"/>
          <w:color w:val="auto"/>
          <w:w w:val="100"/>
          <w:sz w:val="32"/>
        </w:rPr>
        <w:t>现组织开展20</w:t>
      </w:r>
      <w:r>
        <w:rPr>
          <w:rFonts w:hint="eastAsia" w:eastAsia="方正仿宋_GBK"/>
          <w:color w:val="auto"/>
          <w:w w:val="100"/>
          <w:sz w:val="32"/>
          <w:lang w:val="en-US" w:eastAsia="zh-CN"/>
        </w:rPr>
        <w:t>23</w:t>
      </w:r>
      <w:r>
        <w:rPr>
          <w:rFonts w:hint="eastAsia" w:eastAsia="方正仿宋_GBK"/>
          <w:color w:val="auto"/>
          <w:w w:val="100"/>
          <w:sz w:val="32"/>
        </w:rPr>
        <w:t>年全市消防安全重点单位申报备案工作，特公告如下：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黑体_GBK" w:hAnsi="方正黑体_GBK" w:eastAsia="方正黑体_GBK" w:cs="方正黑体_GBK"/>
          <w:color w:val="auto"/>
          <w:w w:val="100"/>
          <w:sz w:val="32"/>
        </w:rPr>
      </w:pPr>
      <w:r>
        <w:rPr>
          <w:rFonts w:hint="eastAsia" w:ascii="方正黑体_GBK" w:hAnsi="方正黑体_GBK" w:eastAsia="方正黑体_GBK" w:cs="方正黑体_GBK"/>
          <w:color w:val="auto"/>
          <w:w w:val="100"/>
          <w:sz w:val="32"/>
        </w:rPr>
        <w:t>一、申报备案期限</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eastAsia="方正仿宋_GBK"/>
          <w:color w:val="auto"/>
          <w:w w:val="100"/>
          <w:sz w:val="32"/>
        </w:rPr>
      </w:pPr>
      <w:r>
        <w:rPr>
          <w:rFonts w:hint="eastAsia" w:eastAsia="方正仿宋_GBK"/>
          <w:color w:val="auto"/>
          <w:w w:val="100"/>
          <w:sz w:val="32"/>
          <w:lang w:eastAsia="zh-CN"/>
        </w:rPr>
        <w:t>即日起</w:t>
      </w:r>
      <w:r>
        <w:rPr>
          <w:rFonts w:hint="eastAsia" w:eastAsia="方正仿宋_GBK"/>
          <w:color w:val="auto"/>
          <w:w w:val="100"/>
          <w:sz w:val="32"/>
        </w:rPr>
        <w:t>至20</w:t>
      </w:r>
      <w:r>
        <w:rPr>
          <w:rFonts w:hint="eastAsia" w:eastAsia="方正仿宋_GBK"/>
          <w:color w:val="auto"/>
          <w:w w:val="100"/>
          <w:sz w:val="32"/>
          <w:lang w:val="en-US" w:eastAsia="zh-CN"/>
        </w:rPr>
        <w:t>23</w:t>
      </w:r>
      <w:r>
        <w:rPr>
          <w:rFonts w:hint="eastAsia" w:eastAsia="方正仿宋_GBK"/>
          <w:color w:val="auto"/>
          <w:w w:val="100"/>
          <w:sz w:val="32"/>
        </w:rPr>
        <w:t>年</w:t>
      </w:r>
      <w:r>
        <w:rPr>
          <w:rFonts w:hint="eastAsia" w:eastAsia="方正仿宋_GBK"/>
          <w:color w:val="auto"/>
          <w:w w:val="100"/>
          <w:sz w:val="32"/>
          <w:lang w:val="en-US" w:eastAsia="zh-CN"/>
        </w:rPr>
        <w:t>5</w:t>
      </w:r>
      <w:r>
        <w:rPr>
          <w:rFonts w:hint="eastAsia" w:eastAsia="方正仿宋_GBK"/>
          <w:color w:val="auto"/>
          <w:w w:val="100"/>
          <w:sz w:val="32"/>
        </w:rPr>
        <w:t>月</w:t>
      </w:r>
      <w:r>
        <w:rPr>
          <w:rFonts w:hint="eastAsia" w:eastAsia="方正仿宋_GBK"/>
          <w:color w:val="auto"/>
          <w:w w:val="100"/>
          <w:sz w:val="32"/>
          <w:lang w:val="en-US" w:eastAsia="zh-CN"/>
        </w:rPr>
        <w:t>25</w:t>
      </w:r>
      <w:r>
        <w:rPr>
          <w:rFonts w:hint="eastAsia" w:eastAsia="方正仿宋_GBK"/>
          <w:color w:val="auto"/>
          <w:w w:val="100"/>
          <w:sz w:val="32"/>
        </w:rPr>
        <w:t>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黑体_GBK" w:hAnsi="方正黑体_GBK" w:eastAsia="方正黑体_GBK" w:cs="方正黑体_GBK"/>
          <w:color w:val="auto"/>
          <w:w w:val="100"/>
          <w:sz w:val="32"/>
          <w:szCs w:val="22"/>
        </w:rPr>
      </w:pPr>
      <w:r>
        <w:rPr>
          <w:rFonts w:hint="eastAsia" w:ascii="方正黑体_GBK" w:hAnsi="方正黑体_GBK" w:eastAsia="方正黑体_GBK" w:cs="方正黑体_GBK"/>
          <w:color w:val="auto"/>
          <w:w w:val="100"/>
          <w:sz w:val="32"/>
          <w:szCs w:val="22"/>
        </w:rPr>
        <w:t>二、申报备案对象</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eastAsia="方正仿宋_GBK"/>
          <w:color w:val="auto"/>
          <w:w w:val="100"/>
          <w:sz w:val="32"/>
        </w:rPr>
      </w:pPr>
      <w:r>
        <w:rPr>
          <w:rFonts w:hint="eastAsia" w:eastAsia="方正仿宋_GBK"/>
          <w:color w:val="auto"/>
          <w:w w:val="100"/>
          <w:sz w:val="32"/>
        </w:rPr>
        <w:t>全市范围内符合河南省消防安全重点单位界定标准的（见附件1）机关、团体、企业、事业单位应当</w:t>
      </w:r>
      <w:r>
        <w:rPr>
          <w:rFonts w:hint="eastAsia" w:eastAsia="方正仿宋_GBK"/>
          <w:color w:val="auto"/>
          <w:w w:val="100"/>
          <w:sz w:val="32"/>
          <w:lang w:eastAsia="zh-CN"/>
        </w:rPr>
        <w:t>对标自评</w:t>
      </w:r>
      <w:r>
        <w:rPr>
          <w:rFonts w:hint="eastAsia" w:eastAsia="方正仿宋_GBK"/>
          <w:color w:val="auto"/>
          <w:w w:val="100"/>
          <w:sz w:val="32"/>
        </w:rPr>
        <w:t>、主动申报备案，符合企业登记标准且经营规模符合消防安全重点单位界定标准的个体工商户也应当申报备案。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黑体_GBK" w:hAnsi="方正黑体_GBK" w:eastAsia="方正黑体_GBK" w:cs="方正黑体_GBK"/>
          <w:color w:val="auto"/>
          <w:w w:val="100"/>
          <w:sz w:val="32"/>
          <w:szCs w:val="22"/>
        </w:rPr>
      </w:pPr>
      <w:r>
        <w:rPr>
          <w:rFonts w:hint="eastAsia" w:ascii="方正黑体_GBK" w:hAnsi="方正黑体_GBK" w:eastAsia="方正黑体_GBK" w:cs="方正黑体_GBK"/>
          <w:color w:val="auto"/>
          <w:w w:val="100"/>
          <w:sz w:val="32"/>
          <w:szCs w:val="22"/>
        </w:rPr>
        <w:t>三、申报备案程序</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楷体_GBK" w:hAnsi="方正楷体_GBK" w:eastAsia="方正楷体_GBK" w:cs="方正楷体_GBK"/>
          <w:color w:val="auto"/>
          <w:w w:val="100"/>
          <w:sz w:val="32"/>
          <w:szCs w:val="22"/>
          <w:lang w:eastAsia="zh-CN"/>
        </w:rPr>
      </w:pPr>
      <w:r>
        <w:rPr>
          <w:rFonts w:hint="eastAsia" w:ascii="方正楷体_GBK" w:hAnsi="方正楷体_GBK" w:eastAsia="方正楷体_GBK" w:cs="方正楷体_GBK"/>
          <w:color w:val="auto"/>
          <w:w w:val="100"/>
          <w:sz w:val="32"/>
          <w:szCs w:val="22"/>
          <w:lang w:eastAsia="zh-CN"/>
        </w:rPr>
        <w:t>（一）对标自评</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eastAsia="方正仿宋_GBK"/>
          <w:color w:val="auto"/>
          <w:w w:val="100"/>
          <w:sz w:val="32"/>
          <w:szCs w:val="22"/>
          <w:lang w:eastAsia="zh-CN"/>
        </w:rPr>
      </w:pPr>
      <w:r>
        <w:rPr>
          <w:rFonts w:hint="eastAsia" w:eastAsia="方正仿宋_GBK"/>
          <w:color w:val="auto"/>
          <w:w w:val="100"/>
          <w:sz w:val="32"/>
          <w:szCs w:val="22"/>
          <w:lang w:eastAsia="zh-CN"/>
        </w:rPr>
        <w:t>全市范围内的机关、团体、企业、事业单位、</w:t>
      </w:r>
      <w:r>
        <w:rPr>
          <w:rFonts w:hint="eastAsia" w:eastAsia="方正仿宋_GBK"/>
          <w:color w:val="auto"/>
          <w:w w:val="100"/>
          <w:sz w:val="32"/>
        </w:rPr>
        <w:t>个体工商户</w:t>
      </w:r>
      <w:r>
        <w:rPr>
          <w:rFonts w:hint="eastAsia" w:eastAsia="方正仿宋_GBK"/>
          <w:color w:val="auto"/>
          <w:w w:val="100"/>
          <w:sz w:val="32"/>
          <w:lang w:eastAsia="zh-CN"/>
        </w:rPr>
        <w:t>法定代表人、实际控制人或主要负责人组织有关人员对照</w:t>
      </w:r>
      <w:r>
        <w:rPr>
          <w:rFonts w:hint="eastAsia" w:eastAsia="方正仿宋_GBK"/>
          <w:color w:val="auto"/>
          <w:w w:val="100"/>
          <w:sz w:val="32"/>
          <w:szCs w:val="22"/>
        </w:rPr>
        <w:t>河南省消防安全重点单位界定标准</w:t>
      </w:r>
      <w:r>
        <w:rPr>
          <w:rFonts w:hint="eastAsia" w:eastAsia="方正仿宋_GBK"/>
          <w:color w:val="auto"/>
          <w:w w:val="100"/>
          <w:sz w:val="32"/>
          <w:szCs w:val="22"/>
          <w:lang w:eastAsia="zh-CN"/>
        </w:rPr>
        <w:t>全面开展自评。</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楷体_GBK" w:hAnsi="方正楷体_GBK" w:eastAsia="方正楷体_GBK" w:cs="方正楷体_GBK"/>
          <w:color w:val="auto"/>
          <w:w w:val="100"/>
          <w:sz w:val="32"/>
          <w:szCs w:val="22"/>
          <w:lang w:eastAsia="zh-CN"/>
        </w:rPr>
      </w:pPr>
      <w:r>
        <w:rPr>
          <w:rFonts w:hint="eastAsia" w:ascii="方正楷体_GBK" w:hAnsi="方正楷体_GBK" w:eastAsia="方正楷体_GBK" w:cs="方正楷体_GBK"/>
          <w:color w:val="auto"/>
          <w:w w:val="100"/>
          <w:sz w:val="32"/>
          <w:szCs w:val="22"/>
          <w:lang w:eastAsia="zh-CN"/>
        </w:rPr>
        <w:t>（二）主动申报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eastAsia="方正仿宋_GBK"/>
          <w:color w:val="auto"/>
          <w:w w:val="100"/>
          <w:sz w:val="32"/>
          <w:szCs w:val="22"/>
          <w:lang w:eastAsia="zh-CN"/>
        </w:rPr>
      </w:pPr>
      <w:r>
        <w:rPr>
          <w:rFonts w:hint="eastAsia" w:eastAsia="方正仿宋_GBK"/>
          <w:color w:val="auto"/>
          <w:w w:val="100"/>
          <w:sz w:val="32"/>
          <w:szCs w:val="22"/>
        </w:rPr>
        <w:t>符合河南省消防安全重点单位界定标准的单位均</w:t>
      </w:r>
      <w:r>
        <w:rPr>
          <w:rFonts w:hint="eastAsia" w:eastAsia="方正仿宋_GBK"/>
          <w:color w:val="auto"/>
          <w:w w:val="100"/>
          <w:sz w:val="32"/>
          <w:szCs w:val="22"/>
          <w:lang w:eastAsia="zh-CN"/>
        </w:rPr>
        <w:t>应</w:t>
      </w:r>
      <w:r>
        <w:rPr>
          <w:rFonts w:hint="eastAsia" w:eastAsia="方正仿宋_GBK"/>
          <w:color w:val="auto"/>
          <w:w w:val="100"/>
          <w:sz w:val="32"/>
          <w:szCs w:val="22"/>
        </w:rPr>
        <w:t>到本行政区域的县（区）消防</w:t>
      </w:r>
      <w:r>
        <w:rPr>
          <w:rFonts w:hint="eastAsia" w:eastAsia="方正仿宋_GBK"/>
          <w:color w:val="auto"/>
          <w:w w:val="100"/>
          <w:sz w:val="32"/>
          <w:szCs w:val="22"/>
          <w:lang w:eastAsia="zh-CN"/>
        </w:rPr>
        <w:t>救援</w:t>
      </w:r>
      <w:r>
        <w:rPr>
          <w:rFonts w:hint="eastAsia" w:eastAsia="方正仿宋_GBK"/>
          <w:color w:val="auto"/>
          <w:w w:val="100"/>
          <w:sz w:val="32"/>
          <w:szCs w:val="22"/>
        </w:rPr>
        <w:t>大队进行申报备案，申报流程为</w:t>
      </w:r>
      <w:r>
        <w:rPr>
          <w:rFonts w:hint="eastAsia" w:eastAsia="方正仿宋_GBK"/>
          <w:color w:val="auto"/>
          <w:w w:val="100"/>
          <w:sz w:val="32"/>
          <w:szCs w:val="22"/>
          <w:lang w:eastAsia="zh-CN"/>
        </w:rPr>
        <w:t>：下载填写</w:t>
      </w:r>
      <w:r>
        <w:rPr>
          <w:rFonts w:hint="eastAsia" w:eastAsia="方正仿宋_GBK"/>
          <w:color w:val="auto"/>
          <w:w w:val="100"/>
          <w:sz w:val="32"/>
          <w:szCs w:val="22"/>
        </w:rPr>
        <w:t>“消防安全重点单位申报备案表”</w:t>
      </w:r>
      <w:r>
        <w:rPr>
          <w:rFonts w:hint="eastAsia" w:eastAsia="方正仿宋_GBK"/>
          <w:color w:val="auto"/>
          <w:w w:val="100"/>
          <w:sz w:val="32"/>
          <w:szCs w:val="22"/>
          <w:lang w:eastAsia="zh-CN"/>
        </w:rPr>
        <w:t>（附件</w:t>
      </w:r>
      <w:r>
        <w:rPr>
          <w:rFonts w:hint="eastAsia" w:eastAsia="方正仿宋_GBK"/>
          <w:color w:val="auto"/>
          <w:w w:val="100"/>
          <w:sz w:val="32"/>
          <w:szCs w:val="22"/>
          <w:lang w:val="en-US" w:eastAsia="zh-CN"/>
        </w:rPr>
        <w:t>2</w:t>
      </w:r>
      <w:r>
        <w:rPr>
          <w:rFonts w:hint="eastAsia" w:eastAsia="方正仿宋_GBK"/>
          <w:color w:val="auto"/>
          <w:w w:val="100"/>
          <w:sz w:val="32"/>
          <w:szCs w:val="22"/>
          <w:lang w:eastAsia="zh-CN"/>
        </w:rPr>
        <w:t>）</w:t>
      </w:r>
      <w:r>
        <w:rPr>
          <w:rFonts w:hint="eastAsia" w:eastAsia="方正仿宋_GBK"/>
          <w:color w:val="auto"/>
          <w:w w:val="100"/>
          <w:sz w:val="32"/>
          <w:szCs w:val="22"/>
        </w:rPr>
        <w:t>，加盖本单位公章、法定代表人签名后</w:t>
      </w:r>
      <w:r>
        <w:rPr>
          <w:rFonts w:hint="eastAsia" w:eastAsia="方正仿宋_GBK"/>
          <w:color w:val="auto"/>
          <w:w w:val="100"/>
          <w:sz w:val="32"/>
          <w:szCs w:val="22"/>
          <w:lang w:eastAsia="zh-CN"/>
        </w:rPr>
        <w:t>将扫描件发送至</w:t>
      </w:r>
      <w:r>
        <w:rPr>
          <w:rFonts w:hint="eastAsia" w:eastAsia="方正仿宋_GBK"/>
          <w:color w:val="auto"/>
          <w:w w:val="100"/>
          <w:sz w:val="32"/>
          <w:szCs w:val="22"/>
        </w:rPr>
        <w:t>本行政区域的县（区）消防</w:t>
      </w:r>
      <w:r>
        <w:rPr>
          <w:rFonts w:hint="eastAsia" w:eastAsia="方正仿宋_GBK"/>
          <w:color w:val="auto"/>
          <w:w w:val="100"/>
          <w:sz w:val="32"/>
          <w:szCs w:val="22"/>
          <w:lang w:eastAsia="zh-CN"/>
        </w:rPr>
        <w:t>救援</w:t>
      </w:r>
      <w:r>
        <w:rPr>
          <w:rFonts w:hint="eastAsia" w:eastAsia="方正仿宋_GBK"/>
          <w:color w:val="auto"/>
          <w:w w:val="100"/>
          <w:sz w:val="32"/>
          <w:szCs w:val="22"/>
        </w:rPr>
        <w:t>大队</w:t>
      </w:r>
      <w:r>
        <w:rPr>
          <w:rFonts w:hint="eastAsia" w:eastAsia="方正仿宋_GBK"/>
          <w:color w:val="auto"/>
          <w:w w:val="100"/>
          <w:sz w:val="32"/>
          <w:szCs w:val="22"/>
          <w:lang w:eastAsia="zh-CN"/>
        </w:rPr>
        <w:t>电子邮箱，待审核通过后由工作人员电话告知再现场报送原件（各县区消防救援大队办公地址及联系方式见附件</w:t>
      </w:r>
      <w:r>
        <w:rPr>
          <w:rFonts w:hint="eastAsia" w:eastAsia="方正仿宋_GBK"/>
          <w:color w:val="auto"/>
          <w:w w:val="100"/>
          <w:sz w:val="32"/>
          <w:szCs w:val="22"/>
          <w:lang w:val="en-US" w:eastAsia="zh-CN"/>
        </w:rPr>
        <w:t>3</w:t>
      </w:r>
      <w:r>
        <w:rPr>
          <w:rFonts w:hint="eastAsia" w:eastAsia="方正仿宋_GBK"/>
          <w:color w:val="auto"/>
          <w:w w:val="100"/>
          <w:sz w:val="32"/>
          <w:szCs w:val="2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楷体_GBK" w:hAnsi="方正楷体_GBK" w:eastAsia="方正楷体_GBK" w:cs="方正楷体_GBK"/>
          <w:color w:val="auto"/>
          <w:w w:val="100"/>
          <w:sz w:val="32"/>
          <w:szCs w:val="22"/>
          <w:lang w:eastAsia="zh-CN"/>
        </w:rPr>
      </w:pPr>
      <w:r>
        <w:rPr>
          <w:rFonts w:hint="eastAsia" w:ascii="方正楷体_GBK" w:hAnsi="方正楷体_GBK" w:eastAsia="方正楷体_GBK" w:cs="方正楷体_GBK"/>
          <w:color w:val="auto"/>
          <w:w w:val="100"/>
          <w:sz w:val="32"/>
          <w:szCs w:val="22"/>
          <w:lang w:eastAsia="zh-CN"/>
        </w:rPr>
        <w:t>（三）注意事项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eastAsia="方正仿宋_GBK"/>
          <w:color w:val="auto"/>
          <w:w w:val="100"/>
          <w:sz w:val="32"/>
          <w:szCs w:val="22"/>
        </w:rPr>
      </w:pPr>
      <w:r>
        <w:rPr>
          <w:rFonts w:hint="eastAsia" w:eastAsia="方正仿宋_GBK"/>
          <w:color w:val="auto"/>
          <w:w w:val="100"/>
          <w:sz w:val="32"/>
          <w:szCs w:val="22"/>
        </w:rPr>
        <w:t>一幢建筑物中各自独立的产权单位或使用单位，凡符合消防安全重点单位界定标准的，应当各自独立申报备案；如建筑物本身符合消防安全重点单位界定标准的，该建筑物产权单位也要独立申报备案。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eastAsia="方正仿宋_GBK"/>
          <w:color w:val="auto"/>
          <w:w w:val="100"/>
          <w:sz w:val="32"/>
          <w:szCs w:val="22"/>
        </w:rPr>
      </w:pPr>
      <w:r>
        <w:rPr>
          <w:rFonts w:hint="eastAsia" w:eastAsia="方正仿宋_GBK"/>
          <w:color w:val="auto"/>
          <w:w w:val="100"/>
          <w:sz w:val="32"/>
          <w:szCs w:val="22"/>
        </w:rPr>
        <w:t>有隶属关系的单位，不在同一地点且符合消防安全重点单位界定标准的，不论下属单位是否具备独立的法人资格，均应当独立申报备案；位于同一地点的有隶属关系的单位，如下属单位具备独立的法人资格，且符合消防安全重点单位界定标准的，也应当独立申报备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eastAsia="方正仿宋_GBK"/>
          <w:color w:val="auto"/>
          <w:w w:val="100"/>
          <w:sz w:val="32"/>
          <w:szCs w:val="22"/>
          <w:lang w:eastAsia="zh-CN"/>
        </w:rPr>
      </w:pPr>
      <w:r>
        <w:rPr>
          <w:rFonts w:hint="eastAsia" w:eastAsia="方正仿宋_GBK"/>
          <w:color w:val="auto"/>
          <w:w w:val="100"/>
          <w:sz w:val="32"/>
          <w:szCs w:val="22"/>
        </w:rPr>
        <w:t>铁路、交通、林业行政主管部门公安消防机构监督职责范围内的消防安全重点单位，向铁路、交通、林业行政主管部门公安消防机构申报备案，再由当地县</w:t>
      </w:r>
      <w:r>
        <w:rPr>
          <w:rFonts w:hint="eastAsia" w:eastAsia="方正仿宋_GBK"/>
          <w:color w:val="auto"/>
          <w:w w:val="100"/>
          <w:sz w:val="32"/>
          <w:szCs w:val="22"/>
          <w:lang w:eastAsia="zh-CN"/>
        </w:rPr>
        <w:t>（</w:t>
      </w:r>
      <w:r>
        <w:rPr>
          <w:rFonts w:hint="eastAsia" w:eastAsia="方正仿宋_GBK"/>
          <w:color w:val="auto"/>
          <w:w w:val="100"/>
          <w:sz w:val="32"/>
          <w:szCs w:val="22"/>
        </w:rPr>
        <w:t>区</w:t>
      </w:r>
      <w:r>
        <w:rPr>
          <w:rFonts w:hint="eastAsia" w:eastAsia="方正仿宋_GBK"/>
          <w:color w:val="auto"/>
          <w:w w:val="100"/>
          <w:sz w:val="32"/>
          <w:szCs w:val="22"/>
          <w:lang w:eastAsia="zh-CN"/>
        </w:rPr>
        <w:t>）</w:t>
      </w:r>
      <w:r>
        <w:rPr>
          <w:rFonts w:hint="eastAsia" w:eastAsia="方正仿宋_GBK"/>
          <w:color w:val="auto"/>
          <w:w w:val="100"/>
          <w:sz w:val="32"/>
          <w:szCs w:val="22"/>
        </w:rPr>
        <w:t>消防</w:t>
      </w:r>
      <w:r>
        <w:rPr>
          <w:rFonts w:hint="eastAsia" w:eastAsia="方正仿宋_GBK"/>
          <w:color w:val="auto"/>
          <w:w w:val="100"/>
          <w:sz w:val="32"/>
          <w:szCs w:val="22"/>
          <w:lang w:eastAsia="zh-CN"/>
        </w:rPr>
        <w:t>救援</w:t>
      </w:r>
      <w:r>
        <w:rPr>
          <w:rFonts w:hint="eastAsia" w:eastAsia="方正仿宋_GBK"/>
          <w:color w:val="auto"/>
          <w:w w:val="100"/>
          <w:sz w:val="32"/>
          <w:szCs w:val="22"/>
        </w:rPr>
        <w:t>大队进行汇总</w:t>
      </w:r>
      <w:r>
        <w:rPr>
          <w:rFonts w:hint="eastAsia" w:eastAsia="方正仿宋_GBK"/>
          <w:color w:val="auto"/>
          <w:w w:val="100"/>
          <w:sz w:val="32"/>
          <w:szCs w:val="2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黑体_GBK" w:hAnsi="方正黑体_GBK" w:eastAsia="方正黑体_GBK" w:cs="方正黑体_GBK"/>
          <w:color w:val="auto"/>
          <w:w w:val="100"/>
          <w:sz w:val="32"/>
          <w:szCs w:val="22"/>
          <w:lang w:eastAsia="zh-CN"/>
        </w:rPr>
      </w:pPr>
      <w:r>
        <w:rPr>
          <w:rFonts w:hint="eastAsia" w:ascii="方正黑体_GBK" w:hAnsi="方正黑体_GBK" w:eastAsia="方正黑体_GBK" w:cs="方正黑体_GBK"/>
          <w:color w:val="auto"/>
          <w:w w:val="100"/>
          <w:sz w:val="32"/>
          <w:szCs w:val="22"/>
          <w:lang w:eastAsia="zh-CN"/>
        </w:rPr>
        <w:t>四、申报要求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eastAsia="方正仿宋_GBK"/>
          <w:color w:val="auto"/>
          <w:w w:val="100"/>
          <w:sz w:val="32"/>
          <w:szCs w:val="22"/>
          <w:lang w:eastAsia="zh-CN"/>
        </w:rPr>
      </w:pPr>
      <w:r>
        <w:rPr>
          <w:rFonts w:hint="eastAsia" w:eastAsia="方正仿宋_GBK"/>
          <w:color w:val="auto"/>
          <w:w w:val="100"/>
          <w:sz w:val="32"/>
          <w:szCs w:val="22"/>
          <w:lang w:eastAsia="zh-CN"/>
        </w:rPr>
        <w:t>（一）20</w:t>
      </w:r>
      <w:r>
        <w:rPr>
          <w:rFonts w:hint="eastAsia" w:eastAsia="方正仿宋_GBK"/>
          <w:color w:val="auto"/>
          <w:w w:val="100"/>
          <w:sz w:val="32"/>
          <w:szCs w:val="22"/>
          <w:lang w:val="en-US" w:eastAsia="zh-CN"/>
        </w:rPr>
        <w:t>22</w:t>
      </w:r>
      <w:r>
        <w:rPr>
          <w:rFonts w:hint="eastAsia" w:eastAsia="方正仿宋_GBK"/>
          <w:color w:val="auto"/>
          <w:w w:val="100"/>
          <w:sz w:val="32"/>
          <w:szCs w:val="22"/>
          <w:lang w:eastAsia="zh-CN"/>
        </w:rPr>
        <w:t>年已申报确定为消防安全重点单位且至今单位未发生变化的，可以直接确定为20</w:t>
      </w:r>
      <w:r>
        <w:rPr>
          <w:rFonts w:hint="eastAsia" w:eastAsia="方正仿宋_GBK"/>
          <w:color w:val="auto"/>
          <w:w w:val="100"/>
          <w:sz w:val="32"/>
          <w:szCs w:val="22"/>
          <w:lang w:val="en-US" w:eastAsia="zh-CN"/>
        </w:rPr>
        <w:t>23</w:t>
      </w:r>
      <w:r>
        <w:rPr>
          <w:rFonts w:hint="eastAsia" w:eastAsia="方正仿宋_GBK"/>
          <w:color w:val="auto"/>
          <w:w w:val="100"/>
          <w:sz w:val="32"/>
          <w:szCs w:val="22"/>
          <w:lang w:eastAsia="zh-CN"/>
        </w:rPr>
        <w:t>年度消防安全重点单位，此次不需要再重新申报备案。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eastAsia="方正仿宋_GBK"/>
          <w:color w:val="auto"/>
          <w:w w:val="100"/>
          <w:sz w:val="32"/>
          <w:szCs w:val="22"/>
          <w:lang w:eastAsia="zh-CN"/>
        </w:rPr>
      </w:pPr>
      <w:r>
        <w:rPr>
          <w:rFonts w:hint="eastAsia" w:eastAsia="方正仿宋_GBK"/>
          <w:color w:val="auto"/>
          <w:w w:val="100"/>
          <w:sz w:val="32"/>
          <w:szCs w:val="22"/>
          <w:lang w:eastAsia="zh-CN"/>
        </w:rPr>
        <w:t>（二）新增的符合界定标准的单位，应依法申报备案，如实填写有关信息，并对申报备案信息的真实性负责。对于应属消防安全重点单位而未申报备案的，由消防部门通知其在规定期限内补报备案。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eastAsia="方正仿宋_GBK"/>
          <w:color w:val="auto"/>
          <w:w w:val="100"/>
          <w:sz w:val="32"/>
          <w:szCs w:val="22"/>
          <w:lang w:eastAsia="zh-CN"/>
        </w:rPr>
      </w:pPr>
      <w:r>
        <w:rPr>
          <w:rFonts w:hint="eastAsia" w:eastAsia="方正仿宋_GBK"/>
          <w:color w:val="auto"/>
          <w:w w:val="100"/>
          <w:sz w:val="32"/>
          <w:szCs w:val="22"/>
          <w:lang w:eastAsia="zh-CN"/>
        </w:rPr>
        <w:t>（三）消防安全重点单位因调整、整合或消失且已不符合消防安全重点单位界定标准的，应及时上报，按照级别由公安机关或消防部门核查后予以调整删除。</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eastAsia="方正仿宋_GBK"/>
          <w:color w:val="auto"/>
          <w:w w:val="100"/>
          <w:sz w:val="32"/>
          <w:szCs w:val="22"/>
          <w:lang w:eastAsia="zh-CN"/>
        </w:rPr>
      </w:pPr>
      <w:r>
        <w:rPr>
          <w:rFonts w:hint="eastAsia" w:eastAsia="方正仿宋_GBK"/>
          <w:color w:val="auto"/>
          <w:w w:val="100"/>
          <w:sz w:val="32"/>
          <w:szCs w:val="22"/>
          <w:lang w:eastAsia="zh-CN"/>
        </w:rPr>
        <w:t>（四）消防部门依据消防法律和相关规范性文件，对社会单位申报的备案信息采取书面审查的方式进行核实，按照《开封市消防救援支队开封市公安局</w:t>
      </w:r>
      <w:r>
        <w:rPr>
          <w:rFonts w:hint="eastAsia" w:eastAsia="方正仿宋_GBK"/>
          <w:color w:val="auto"/>
          <w:w w:val="100"/>
          <w:sz w:val="32"/>
          <w:szCs w:val="22"/>
          <w:u w:val="none"/>
          <w:lang w:eastAsia="zh-CN"/>
        </w:rPr>
        <w:t>关于修订开封市消防安全重点单位分级界定标准的通知</w:t>
      </w:r>
      <w:r>
        <w:rPr>
          <w:rFonts w:hint="eastAsia" w:eastAsia="方正仿宋_GBK"/>
          <w:color w:val="auto"/>
          <w:w w:val="100"/>
          <w:sz w:val="32"/>
          <w:szCs w:val="22"/>
          <w:lang w:eastAsia="zh-CN"/>
        </w:rPr>
        <w:t>》（汴消〔20</w:t>
      </w:r>
      <w:r>
        <w:rPr>
          <w:rFonts w:hint="eastAsia" w:eastAsia="方正仿宋_GBK"/>
          <w:color w:val="auto"/>
          <w:w w:val="100"/>
          <w:sz w:val="32"/>
          <w:szCs w:val="22"/>
          <w:lang w:val="en-US" w:eastAsia="zh-CN"/>
        </w:rPr>
        <w:t>20</w:t>
      </w:r>
      <w:r>
        <w:rPr>
          <w:rFonts w:hint="eastAsia" w:eastAsia="方正仿宋_GBK"/>
          <w:color w:val="auto"/>
          <w:w w:val="100"/>
          <w:sz w:val="32"/>
          <w:szCs w:val="22"/>
          <w:lang w:eastAsia="zh-CN"/>
        </w:rPr>
        <w:t>〕</w:t>
      </w:r>
      <w:r>
        <w:rPr>
          <w:rFonts w:hint="eastAsia" w:eastAsia="方正仿宋_GBK"/>
          <w:color w:val="auto"/>
          <w:w w:val="100"/>
          <w:sz w:val="32"/>
          <w:szCs w:val="22"/>
          <w:lang w:val="en-US" w:eastAsia="zh-CN"/>
        </w:rPr>
        <w:t>29</w:t>
      </w:r>
      <w:r>
        <w:rPr>
          <w:rFonts w:hint="eastAsia" w:eastAsia="方正仿宋_GBK"/>
          <w:color w:val="auto"/>
          <w:w w:val="100"/>
          <w:sz w:val="32"/>
          <w:szCs w:val="22"/>
          <w:lang w:eastAsia="zh-CN"/>
        </w:rPr>
        <w:t>号）确定一级、二级、三级消防安全重点单位，通过适当形式向社会公布。</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eastAsia="方正仿宋_GBK"/>
          <w:color w:val="auto"/>
          <w:w w:val="100"/>
          <w:sz w:val="32"/>
          <w:szCs w:val="22"/>
          <w:lang w:eastAsia="zh-CN"/>
        </w:rPr>
      </w:pPr>
      <w:r>
        <w:rPr>
          <w:rFonts w:hint="eastAsia" w:eastAsia="方正仿宋_GBK"/>
          <w:color w:val="auto"/>
          <w:w w:val="100"/>
          <w:sz w:val="32"/>
          <w:szCs w:val="22"/>
          <w:lang w:eastAsia="zh-CN"/>
        </w:rPr>
        <w:t>特此公告。</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eastAsia="方正仿宋_GBK"/>
          <w:w w:val="100"/>
          <w:sz w:val="32"/>
          <w:szCs w:val="22"/>
          <w:lang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eastAsia="方正仿宋_GBK"/>
          <w:w w:val="100"/>
          <w:sz w:val="32"/>
          <w:szCs w:val="22"/>
          <w:lang w:eastAsia="zh-CN"/>
        </w:rPr>
      </w:pPr>
      <w:r>
        <w:rPr>
          <w:rFonts w:hint="eastAsia" w:eastAsia="方正仿宋_GBK"/>
          <w:w w:val="100"/>
          <w:sz w:val="32"/>
          <w:szCs w:val="22"/>
          <w:lang w:eastAsia="zh-CN"/>
        </w:rPr>
        <w:t>附件</w:t>
      </w:r>
      <w:r>
        <w:rPr>
          <w:rFonts w:hint="eastAsia" w:eastAsia="方正仿宋_GBK"/>
          <w:w w:val="100"/>
          <w:sz w:val="32"/>
          <w:szCs w:val="22"/>
          <w:lang w:val="en-US" w:eastAsia="zh-CN"/>
        </w:rPr>
        <w:t>1.</w:t>
      </w:r>
      <w:r>
        <w:rPr>
          <w:rFonts w:hint="eastAsia" w:eastAsia="方正仿宋_GBK"/>
          <w:w w:val="100"/>
          <w:sz w:val="32"/>
          <w:szCs w:val="22"/>
          <w:lang w:eastAsia="zh-CN"/>
        </w:rPr>
        <w:t>河南省消防安全重点单位界定标准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eastAsia="方正仿宋_GBK"/>
          <w:w w:val="100"/>
          <w:sz w:val="32"/>
          <w:szCs w:val="22"/>
          <w:lang w:val="en-US" w:eastAsia="zh-CN"/>
        </w:rPr>
      </w:pPr>
      <w:r>
        <w:rPr>
          <w:rFonts w:hint="eastAsia" w:eastAsia="方正仿宋_GBK"/>
          <w:w w:val="100"/>
          <w:sz w:val="32"/>
          <w:szCs w:val="22"/>
          <w:lang w:val="en-US" w:eastAsia="zh-CN"/>
        </w:rPr>
        <w:t xml:space="preserve">    2.消防安全重点单位申报备案表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eastAsia="方正仿宋_GBK"/>
          <w:w w:val="100"/>
          <w:sz w:val="32"/>
          <w:szCs w:val="22"/>
          <w:lang w:val="en-US" w:eastAsia="zh-CN"/>
        </w:rPr>
      </w:pPr>
      <w:r>
        <w:rPr>
          <w:rFonts w:hint="eastAsia" w:eastAsia="方正仿宋_GBK"/>
          <w:w w:val="100"/>
          <w:sz w:val="32"/>
          <w:szCs w:val="22"/>
          <w:lang w:val="en-US" w:eastAsia="zh-CN"/>
        </w:rPr>
        <w:t xml:space="preserve">    3.各县区消防救援大队办公地址及联系方式</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eastAsia="方正仿宋_GBK"/>
          <w:w w:val="100"/>
          <w:sz w:val="32"/>
          <w:szCs w:val="22"/>
          <w:lang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eastAsia="方正仿宋_GBK"/>
          <w:w w:val="100"/>
          <w:sz w:val="32"/>
          <w:szCs w:val="22"/>
          <w:lang w:eastAsia="zh-CN"/>
        </w:rPr>
      </w:pPr>
    </w:p>
    <w:p>
      <w:pPr>
        <w:keepNext w:val="0"/>
        <w:keepLines w:val="0"/>
        <w:pageBreakBefore w:val="0"/>
        <w:widowControl w:val="0"/>
        <w:kinsoku/>
        <w:wordWrap w:val="0"/>
        <w:overflowPunct/>
        <w:topLinePunct w:val="0"/>
        <w:autoSpaceDE/>
        <w:autoSpaceDN/>
        <w:bidi w:val="0"/>
        <w:adjustRightInd/>
        <w:snapToGrid/>
        <w:spacing w:line="620" w:lineRule="exact"/>
        <w:ind w:firstLine="640" w:firstLineChars="200"/>
        <w:jc w:val="right"/>
        <w:textAlignment w:val="auto"/>
        <w:rPr>
          <w:rFonts w:hint="default" w:eastAsia="方正仿宋_GBK"/>
          <w:w w:val="100"/>
          <w:sz w:val="32"/>
          <w:szCs w:val="22"/>
          <w:lang w:val="en-US" w:eastAsia="zh-CN"/>
        </w:rPr>
      </w:pPr>
      <w:r>
        <w:rPr>
          <w:rFonts w:hint="eastAsia" w:eastAsia="方正仿宋_GBK"/>
          <w:w w:val="100"/>
          <w:sz w:val="32"/>
          <w:szCs w:val="22"/>
          <w:lang w:eastAsia="zh-CN"/>
        </w:rPr>
        <w:t xml:space="preserve">开封市消防救援支队     </w:t>
      </w:r>
      <w:r>
        <w:rPr>
          <w:rFonts w:hint="eastAsia" w:eastAsia="方正仿宋_GBK"/>
          <w:w w:val="100"/>
          <w:sz w:val="32"/>
          <w:szCs w:val="22"/>
          <w:lang w:val="en-US" w:eastAsia="zh-CN"/>
        </w:rPr>
        <w:t xml:space="preserve"> </w:t>
      </w:r>
      <w:r>
        <w:rPr>
          <w:rFonts w:hint="eastAsia" w:eastAsia="方正仿宋_GBK"/>
          <w:w w:val="100"/>
          <w:sz w:val="32"/>
          <w:szCs w:val="22"/>
          <w:lang w:eastAsia="zh-CN"/>
        </w:rPr>
        <w:t>开封市公安局</w:t>
      </w:r>
    </w:p>
    <w:p>
      <w:pPr>
        <w:keepNext w:val="0"/>
        <w:keepLines w:val="0"/>
        <w:pageBreakBefore w:val="0"/>
        <w:widowControl w:val="0"/>
        <w:kinsoku/>
        <w:wordWrap w:val="0"/>
        <w:overflowPunct/>
        <w:topLinePunct w:val="0"/>
        <w:autoSpaceDE/>
        <w:autoSpaceDN/>
        <w:bidi w:val="0"/>
        <w:adjustRightInd/>
        <w:snapToGrid/>
        <w:spacing w:line="620" w:lineRule="exact"/>
        <w:ind w:firstLine="640" w:firstLineChars="200"/>
        <w:jc w:val="right"/>
        <w:textAlignment w:val="auto"/>
        <w:rPr>
          <w:rFonts w:hint="eastAsia" w:eastAsia="方正仿宋_GBK"/>
          <w:w w:val="100"/>
          <w:sz w:val="32"/>
          <w:szCs w:val="22"/>
          <w:lang w:val="en-US" w:eastAsia="zh-CN"/>
        </w:rPr>
        <w:sectPr>
          <w:footerReference r:id="rId3" w:type="default"/>
          <w:pgSz w:w="11906" w:h="16838"/>
          <w:pgMar w:top="2098" w:right="1474" w:bottom="1440" w:left="1587" w:header="851" w:footer="992" w:gutter="0"/>
          <w:pgNumType w:fmt="decimal"/>
          <w:cols w:space="425" w:num="1"/>
          <w:docGrid w:type="lines" w:linePitch="312" w:charSpace="0"/>
        </w:sectPr>
      </w:pPr>
      <w:r>
        <w:rPr>
          <w:rFonts w:hint="eastAsia" w:eastAsia="方正仿宋_GBK"/>
          <w:w w:val="100"/>
          <w:sz w:val="32"/>
          <w:szCs w:val="22"/>
          <w:lang w:val="en-US" w:eastAsia="zh-CN"/>
        </w:rPr>
        <w:t xml:space="preserve">2023年5月5日           </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eastAsia="方正仿宋_GBK"/>
          <w:w w:val="100"/>
          <w:sz w:val="32"/>
          <w:szCs w:val="22"/>
          <w:lang w:eastAsia="zh-CN"/>
        </w:rPr>
      </w:pPr>
      <w:r>
        <w:rPr>
          <w:rFonts w:hint="eastAsia" w:eastAsia="方正仿宋_GBK"/>
          <w:w w:val="100"/>
          <w:sz w:val="32"/>
          <w:szCs w:val="22"/>
          <w:lang w:eastAsia="zh-CN"/>
        </w:rPr>
        <w:t>附件1：</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_GBK" w:hAnsi="方正小标宋_GBK" w:eastAsia="方正小标宋_GBK" w:cs="方正小标宋_GBK"/>
          <w:color w:val="000000"/>
          <w:sz w:val="44"/>
          <w:szCs w:val="44"/>
          <w:shd w:val="clear" w:color="auto" w:fill="FFFFFF"/>
        </w:rPr>
      </w:pPr>
      <w:r>
        <w:rPr>
          <w:rFonts w:hint="eastAsia" w:ascii="方正小标宋_GBK" w:hAnsi="方正小标宋_GBK" w:eastAsia="方正小标宋_GBK" w:cs="方正小标宋_GBK"/>
          <w:color w:val="000000"/>
          <w:sz w:val="44"/>
          <w:szCs w:val="44"/>
          <w:shd w:val="clear" w:color="auto" w:fill="FFFFFF"/>
        </w:rPr>
        <w:t>河南省消防安全重点单位界定标准</w:t>
      </w:r>
    </w:p>
    <w:p>
      <w:pPr>
        <w:keepNext w:val="0"/>
        <w:keepLines w:val="0"/>
        <w:pageBreakBefore w:val="0"/>
        <w:widowControl w:val="0"/>
        <w:kinsoku/>
        <w:wordWrap/>
        <w:overflowPunct/>
        <w:topLinePunct w:val="0"/>
        <w:autoSpaceDE/>
        <w:autoSpaceDN/>
        <w:bidi w:val="0"/>
        <w:adjustRightInd/>
        <w:snapToGrid/>
        <w:spacing w:line="620" w:lineRule="exact"/>
        <w:ind w:firstLine="700" w:firstLineChars="200"/>
        <w:jc w:val="left"/>
        <w:textAlignment w:val="auto"/>
        <w:rPr>
          <w:rFonts w:hint="eastAsia" w:ascii="黑体" w:hAnsi="Arial" w:eastAsia="黑体" w:cs="黑体"/>
          <w:color w:val="000000"/>
          <w:sz w:val="32"/>
          <w:szCs w:val="32"/>
          <w:shd w:val="clear" w:color="auto" w:fill="FFFFFF"/>
        </w:rPr>
      </w:pPr>
      <w:r>
        <w:rPr>
          <w:rFonts w:hint="default" w:ascii="Times New Roman" w:hAnsi="Times New Roman" w:eastAsia="方正仿宋_GBK" w:cs="Times New Roman"/>
          <w:color w:val="333333"/>
          <w:spacing w:val="15"/>
          <w:sz w:val="32"/>
          <w:szCs w:val="32"/>
          <w:shd w:val="clear" w:color="auto" w:fill="FFFFFF"/>
        </w:rPr>
        <w:t>（摘自河南省公安厅《关于调整河南省消防安全重点单位界定标准的通知》（豫公通〔2013〕250号））</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方正黑体_GBK" w:hAnsi="方正黑体_GBK" w:eastAsia="方正黑体_GBK" w:cs="方正黑体_GBK"/>
          <w:sz w:val="32"/>
          <w:szCs w:val="32"/>
          <w:shd w:val="clear" w:color="auto" w:fill="FFFFFF"/>
        </w:rPr>
      </w:pPr>
      <w:r>
        <w:rPr>
          <w:rFonts w:hint="default" w:ascii="方正黑体_GBK" w:hAnsi="方正黑体_GBK" w:eastAsia="方正黑体_GBK" w:cs="方正黑体_GBK"/>
          <w:sz w:val="32"/>
          <w:szCs w:val="32"/>
          <w:shd w:val="clear" w:color="auto" w:fill="FFFFFF"/>
        </w:rPr>
        <w:t>一、宾馆、饭店、商场、集贸市场、体育场馆、会堂、公共娱乐场所等公众聚集场所：</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color w:val="000000"/>
          <w:sz w:val="32"/>
          <w:szCs w:val="32"/>
          <w:shd w:val="clear" w:color="auto" w:fill="FFFFFF"/>
        </w:rPr>
        <w:t>（一）建筑面积在1000平方米（含本数，下同）以上且经营可燃商品的</w:t>
      </w:r>
      <w:r>
        <w:rPr>
          <w:rFonts w:hint="default" w:ascii="Times New Roman" w:hAnsi="Times New Roman" w:eastAsia="方正仿宋_GBK" w:cs="Times New Roman"/>
          <w:sz w:val="32"/>
          <w:szCs w:val="32"/>
          <w:shd w:val="clear" w:color="auto" w:fill="FFFFFF"/>
        </w:rPr>
        <w:t>商场、集贸市场；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（二）客房数在50间以上，或客房数在50间以下但设有商场、歌舞娱乐、餐饮场所等且建筑面积大于2000平方米的宾馆、饭店；</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（三）公共的体育场馆、会堂；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（四）建筑面积在200平方米以上的下列室内公共娱乐场所：</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1.影剧院、放映厅、礼堂等演出放映场所；</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2.舞厅、KTV等歌舞娱乐场所；</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3.具有娱乐功能的夜总会、音乐茶座和餐饮场所；</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4.游艺、游乐场所；</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（五）建筑面积在500平方米以上的足浴、美容院、桑拿浴室（洗浴部分面积除外）等营业性健身、休闲场所。</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方正黑体_GBK" w:hAnsi="方正黑体_GBK" w:eastAsia="方正黑体_GBK" w:cs="方正黑体_GBK"/>
          <w:sz w:val="32"/>
          <w:szCs w:val="32"/>
          <w:shd w:val="clear" w:color="auto" w:fill="FFFFFF"/>
        </w:rPr>
      </w:pPr>
      <w:r>
        <w:rPr>
          <w:rFonts w:hint="default" w:ascii="方正黑体_GBK" w:hAnsi="方正黑体_GBK" w:eastAsia="方正黑体_GBK" w:cs="方正黑体_GBK"/>
          <w:sz w:val="32"/>
          <w:szCs w:val="32"/>
          <w:shd w:val="clear" w:color="auto" w:fill="FFFFFF"/>
        </w:rPr>
        <w:t>二、医院、养老院和寄宿制的学校托儿所、幼儿园：</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eastAsia="方正仿宋_GBK"/>
          <w:w w:val="100"/>
          <w:sz w:val="32"/>
          <w:szCs w:val="22"/>
          <w:lang w:eastAsia="zh-CN"/>
        </w:rPr>
      </w:pPr>
      <w:r>
        <w:rPr>
          <w:rFonts w:hint="default" w:eastAsia="方正仿宋_GBK"/>
          <w:w w:val="100"/>
          <w:sz w:val="32"/>
          <w:szCs w:val="22"/>
          <w:lang w:eastAsia="zh-CN"/>
        </w:rPr>
        <w:t>（一）住院床位在50张以上的医疗保健机构；</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eastAsia="方正仿宋_GBK"/>
          <w:w w:val="100"/>
          <w:sz w:val="32"/>
          <w:szCs w:val="22"/>
          <w:lang w:eastAsia="zh-CN"/>
        </w:rPr>
      </w:pPr>
      <w:r>
        <w:rPr>
          <w:rFonts w:hint="default" w:eastAsia="方正仿宋_GBK"/>
          <w:w w:val="100"/>
          <w:sz w:val="32"/>
          <w:szCs w:val="22"/>
          <w:lang w:eastAsia="zh-CN"/>
        </w:rPr>
        <w:t>（二）住宿床位在50张以上的养老院、福利院；</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eastAsia="方正仿宋_GBK"/>
          <w:w w:val="100"/>
          <w:sz w:val="32"/>
          <w:szCs w:val="22"/>
          <w:lang w:eastAsia="zh-CN"/>
        </w:rPr>
      </w:pPr>
      <w:r>
        <w:rPr>
          <w:rFonts w:hint="default" w:eastAsia="方正仿宋_GBK"/>
          <w:w w:val="100"/>
          <w:sz w:val="32"/>
          <w:szCs w:val="22"/>
          <w:lang w:eastAsia="zh-CN"/>
        </w:rPr>
        <w:t>（三）学生住宿床位在100张以上的学校；</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eastAsia="方正仿宋_GBK"/>
          <w:w w:val="100"/>
          <w:sz w:val="32"/>
          <w:szCs w:val="22"/>
          <w:lang w:eastAsia="zh-CN"/>
        </w:rPr>
      </w:pPr>
      <w:r>
        <w:rPr>
          <w:rFonts w:hint="default" w:eastAsia="方正仿宋_GBK"/>
          <w:w w:val="100"/>
          <w:sz w:val="32"/>
          <w:szCs w:val="22"/>
          <w:lang w:eastAsia="zh-CN"/>
        </w:rPr>
        <w:t>（四）幼儿住宿床位在50张以上的托儿所、幼儿园。</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方正黑体_GBK" w:hAnsi="方正黑体_GBK" w:eastAsia="方正黑体_GBK" w:cs="方正黑体_GBK"/>
          <w:sz w:val="32"/>
          <w:szCs w:val="32"/>
          <w:shd w:val="clear" w:color="auto" w:fill="FFFFFF"/>
        </w:rPr>
      </w:pPr>
      <w:r>
        <w:rPr>
          <w:rFonts w:hint="default" w:ascii="方正黑体_GBK" w:hAnsi="方正黑体_GBK" w:eastAsia="方正黑体_GBK" w:cs="方正黑体_GBK"/>
          <w:sz w:val="32"/>
          <w:szCs w:val="32"/>
          <w:shd w:val="clear" w:color="auto" w:fill="FFFFFF"/>
        </w:rPr>
        <w:t>三、国家机关：</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eastAsia="方正仿宋_GBK"/>
          <w:w w:val="100"/>
          <w:sz w:val="32"/>
          <w:szCs w:val="22"/>
          <w:lang w:eastAsia="zh-CN"/>
        </w:rPr>
      </w:pPr>
      <w:r>
        <w:rPr>
          <w:rFonts w:hint="default" w:eastAsia="方正仿宋_GBK"/>
          <w:w w:val="100"/>
          <w:sz w:val="32"/>
          <w:szCs w:val="22"/>
          <w:lang w:eastAsia="zh-CN"/>
        </w:rPr>
        <w:t>（一）县级以上的党委、人大、政府、政协；</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eastAsia="方正仿宋_GBK"/>
          <w:w w:val="100"/>
          <w:sz w:val="32"/>
          <w:szCs w:val="22"/>
          <w:lang w:eastAsia="zh-CN"/>
        </w:rPr>
      </w:pPr>
      <w:r>
        <w:rPr>
          <w:rFonts w:hint="default" w:eastAsia="方正仿宋_GBK"/>
          <w:w w:val="100"/>
          <w:sz w:val="32"/>
          <w:szCs w:val="22"/>
          <w:lang w:eastAsia="zh-CN"/>
        </w:rPr>
        <w:t>（二）县级以上的人民检察院、人民法院。</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方正黑体_GBK" w:hAnsi="方正黑体_GBK" w:eastAsia="方正黑体_GBK" w:cs="方正黑体_GBK"/>
          <w:sz w:val="32"/>
          <w:szCs w:val="32"/>
          <w:shd w:val="clear" w:color="auto" w:fill="FFFFFF"/>
        </w:rPr>
      </w:pPr>
      <w:r>
        <w:rPr>
          <w:rFonts w:hint="default" w:ascii="方正黑体_GBK" w:hAnsi="方正黑体_GBK" w:eastAsia="方正黑体_GBK" w:cs="方正黑体_GBK"/>
          <w:sz w:val="32"/>
          <w:szCs w:val="32"/>
          <w:shd w:val="clear" w:color="auto" w:fill="FFFFFF"/>
        </w:rPr>
        <w:t>四、广播、电视和邮政、通信枢纽：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eastAsia="方正仿宋_GBK"/>
          <w:w w:val="100"/>
          <w:sz w:val="32"/>
          <w:szCs w:val="22"/>
          <w:lang w:eastAsia="zh-CN"/>
        </w:rPr>
      </w:pPr>
      <w:r>
        <w:rPr>
          <w:rFonts w:hint="default" w:eastAsia="方正仿宋_GBK"/>
          <w:w w:val="100"/>
          <w:sz w:val="32"/>
          <w:szCs w:val="22"/>
          <w:lang w:eastAsia="zh-CN"/>
        </w:rPr>
        <w:t>（一）县级以上广播电台、电视台；</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eastAsia="方正仿宋_GBK"/>
          <w:w w:val="100"/>
          <w:sz w:val="32"/>
          <w:szCs w:val="22"/>
          <w:lang w:eastAsia="zh-CN"/>
        </w:rPr>
      </w:pPr>
      <w:r>
        <w:rPr>
          <w:rFonts w:hint="default" w:eastAsia="方正仿宋_GBK"/>
          <w:w w:val="100"/>
          <w:sz w:val="32"/>
          <w:szCs w:val="22"/>
          <w:lang w:eastAsia="zh-CN"/>
        </w:rPr>
        <w:t>（二）县级以上邮政、通信枢纽单位。</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方正黑体_GBK" w:hAnsi="方正黑体_GBK" w:eastAsia="方正黑体_GBK" w:cs="方正黑体_GBK"/>
          <w:sz w:val="32"/>
          <w:szCs w:val="32"/>
          <w:shd w:val="clear" w:color="auto" w:fill="FFFFFF"/>
        </w:rPr>
      </w:pPr>
      <w:r>
        <w:rPr>
          <w:rFonts w:hint="default" w:ascii="方正黑体_GBK" w:hAnsi="方正黑体_GBK" w:eastAsia="方正黑体_GBK" w:cs="方正黑体_GBK"/>
          <w:sz w:val="32"/>
          <w:szCs w:val="32"/>
          <w:shd w:val="clear" w:color="auto" w:fill="FFFFFF"/>
        </w:rPr>
        <w:t>五、客运车站、码头、民用机场：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eastAsia="方正仿宋_GBK"/>
          <w:w w:val="100"/>
          <w:sz w:val="32"/>
          <w:szCs w:val="22"/>
          <w:lang w:eastAsia="zh-CN"/>
        </w:rPr>
      </w:pPr>
      <w:r>
        <w:rPr>
          <w:rFonts w:hint="default" w:eastAsia="方正仿宋_GBK"/>
          <w:w w:val="100"/>
          <w:sz w:val="32"/>
          <w:szCs w:val="22"/>
          <w:lang w:eastAsia="zh-CN"/>
        </w:rPr>
        <w:t>（一）建筑面积在500平方米以上的客运车站侯车厅、客运码头候船厅；</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eastAsia="方正仿宋_GBK"/>
          <w:w w:val="100"/>
          <w:sz w:val="32"/>
          <w:szCs w:val="22"/>
          <w:lang w:eastAsia="zh-CN"/>
        </w:rPr>
      </w:pPr>
      <w:r>
        <w:rPr>
          <w:rFonts w:hint="default" w:eastAsia="方正仿宋_GBK"/>
          <w:w w:val="100"/>
          <w:sz w:val="32"/>
          <w:szCs w:val="22"/>
          <w:lang w:eastAsia="zh-CN"/>
        </w:rPr>
        <w:t>（二）民用机场航站楼。</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方正黑体_GBK" w:hAnsi="方正黑体_GBK" w:eastAsia="方正黑体_GBK" w:cs="方正黑体_GBK"/>
          <w:sz w:val="32"/>
          <w:szCs w:val="32"/>
          <w:shd w:val="clear" w:color="auto" w:fill="FFFFFF"/>
        </w:rPr>
      </w:pPr>
      <w:r>
        <w:rPr>
          <w:rFonts w:hint="default" w:ascii="方正黑体_GBK" w:hAnsi="方正黑体_GBK" w:eastAsia="方正黑体_GBK" w:cs="方正黑体_GBK"/>
          <w:sz w:val="32"/>
          <w:szCs w:val="32"/>
          <w:shd w:val="clear" w:color="auto" w:fill="FFFFFF"/>
        </w:rPr>
        <w:t>六、公共图书馆、展览馆、博物馆、档案馆以及具有火灾危险性的文物保护单位：</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eastAsia="方正仿宋_GBK"/>
          <w:w w:val="100"/>
          <w:sz w:val="32"/>
          <w:szCs w:val="22"/>
          <w:lang w:eastAsia="zh-CN"/>
        </w:rPr>
      </w:pPr>
      <w:r>
        <w:rPr>
          <w:rFonts w:hint="default" w:eastAsia="方正仿宋_GBK"/>
          <w:w w:val="100"/>
          <w:sz w:val="32"/>
          <w:szCs w:val="22"/>
          <w:lang w:eastAsia="zh-CN"/>
        </w:rPr>
        <w:t>（一）建筑面积在2000平方米以上的公共图书馆、展览馆；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eastAsia="方正仿宋_GBK"/>
          <w:w w:val="100"/>
          <w:sz w:val="32"/>
          <w:szCs w:val="22"/>
          <w:lang w:eastAsia="zh-CN"/>
        </w:rPr>
      </w:pPr>
      <w:r>
        <w:rPr>
          <w:rFonts w:hint="default" w:eastAsia="方正仿宋_GBK"/>
          <w:w w:val="100"/>
          <w:sz w:val="32"/>
          <w:szCs w:val="22"/>
          <w:lang w:eastAsia="zh-CN"/>
        </w:rPr>
        <w:t>（二）公共博物馆、档案馆；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eastAsia="方正仿宋_GBK"/>
          <w:w w:val="100"/>
          <w:sz w:val="32"/>
          <w:szCs w:val="22"/>
          <w:lang w:eastAsia="zh-CN"/>
        </w:rPr>
      </w:pPr>
      <w:r>
        <w:rPr>
          <w:rFonts w:hint="default" w:eastAsia="方正仿宋_GBK"/>
          <w:w w:val="100"/>
          <w:sz w:val="32"/>
          <w:szCs w:val="22"/>
          <w:lang w:eastAsia="zh-CN"/>
        </w:rPr>
        <w:t>（三）具有火灾危险性的县级以上文物保护单位。</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方正黑体_GBK" w:hAnsi="方正黑体_GBK" w:eastAsia="方正黑体_GBK" w:cs="方正黑体_GBK"/>
          <w:sz w:val="32"/>
          <w:szCs w:val="32"/>
          <w:shd w:val="clear" w:color="auto" w:fill="FFFFFF"/>
        </w:rPr>
      </w:pPr>
      <w:r>
        <w:rPr>
          <w:rFonts w:hint="default" w:ascii="方正黑体_GBK" w:hAnsi="方正黑体_GBK" w:eastAsia="方正黑体_GBK" w:cs="方正黑体_GBK"/>
          <w:sz w:val="32"/>
          <w:szCs w:val="32"/>
          <w:shd w:val="clear" w:color="auto" w:fill="FFFFFF"/>
        </w:rPr>
        <w:t>七、发电厂（站）和电网经营企业。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方正黑体_GBK" w:hAnsi="方正黑体_GBK" w:eastAsia="方正黑体_GBK" w:cs="方正黑体_GBK"/>
          <w:sz w:val="32"/>
          <w:szCs w:val="32"/>
          <w:shd w:val="clear" w:color="auto" w:fill="FFFFFF"/>
        </w:rPr>
      </w:pPr>
      <w:r>
        <w:rPr>
          <w:rFonts w:hint="default" w:ascii="方正黑体_GBK" w:hAnsi="方正黑体_GBK" w:eastAsia="方正黑体_GBK" w:cs="方正黑体_GBK"/>
          <w:sz w:val="32"/>
          <w:szCs w:val="32"/>
          <w:shd w:val="clear" w:color="auto" w:fill="FFFFFF"/>
        </w:rPr>
        <w:t>八、易燃易爆化学物品的生产、充装、储存、供应、销售单位：</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eastAsia="方正仿宋_GBK"/>
          <w:w w:val="100"/>
          <w:sz w:val="32"/>
          <w:szCs w:val="22"/>
          <w:lang w:eastAsia="zh-CN"/>
        </w:rPr>
      </w:pPr>
      <w:r>
        <w:rPr>
          <w:rFonts w:hint="default" w:eastAsia="方正仿宋_GBK"/>
          <w:w w:val="100"/>
          <w:sz w:val="32"/>
          <w:szCs w:val="22"/>
          <w:lang w:eastAsia="zh-CN"/>
        </w:rPr>
        <w:t>（一）生产易燃易爆化学物品的工厂；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eastAsia="方正仿宋_GBK"/>
          <w:w w:val="100"/>
          <w:sz w:val="32"/>
          <w:szCs w:val="22"/>
          <w:lang w:eastAsia="zh-CN"/>
        </w:rPr>
      </w:pPr>
      <w:r>
        <w:rPr>
          <w:rFonts w:hint="default" w:eastAsia="方正仿宋_GBK"/>
          <w:w w:val="100"/>
          <w:sz w:val="32"/>
          <w:szCs w:val="22"/>
          <w:lang w:eastAsia="zh-CN"/>
        </w:rPr>
        <w:t>（二）易燃易爆气体和液体的灌装站、调压站；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eastAsia="方正仿宋_GBK"/>
          <w:w w:val="100"/>
          <w:sz w:val="32"/>
          <w:szCs w:val="22"/>
          <w:lang w:eastAsia="zh-CN"/>
        </w:rPr>
      </w:pPr>
      <w:r>
        <w:rPr>
          <w:rFonts w:hint="default" w:eastAsia="方正仿宋_GBK"/>
          <w:w w:val="100"/>
          <w:sz w:val="32"/>
          <w:szCs w:val="22"/>
          <w:lang w:eastAsia="zh-CN"/>
        </w:rPr>
        <w:t>（三）储存易燃易爆化学物品的专用仓库（堆场、储罐场所）；</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eastAsia="方正仿宋_GBK"/>
          <w:w w:val="100"/>
          <w:sz w:val="32"/>
          <w:szCs w:val="22"/>
          <w:lang w:eastAsia="zh-CN"/>
        </w:rPr>
      </w:pPr>
      <w:r>
        <w:rPr>
          <w:rFonts w:hint="default" w:eastAsia="方正仿宋_GBK"/>
          <w:w w:val="100"/>
          <w:sz w:val="32"/>
          <w:szCs w:val="22"/>
          <w:lang w:eastAsia="zh-CN"/>
        </w:rPr>
        <w:t>（四）营业性加油站、加气站，液化石油气供应站（换瓶站）；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eastAsia="方正仿宋_GBK"/>
          <w:w w:val="100"/>
          <w:sz w:val="32"/>
          <w:szCs w:val="22"/>
          <w:lang w:eastAsia="zh-CN"/>
        </w:rPr>
      </w:pPr>
      <w:r>
        <w:rPr>
          <w:rFonts w:hint="default" w:eastAsia="方正仿宋_GBK"/>
          <w:w w:val="100"/>
          <w:sz w:val="32"/>
          <w:szCs w:val="22"/>
          <w:lang w:eastAsia="zh-CN"/>
        </w:rPr>
        <w:t>（五）经营易燃易爆化学物品的化工商店；</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1.经营甲、乙类易燃易爆化学物品，站内总存量300公斤或5立方米以上的商店；</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2.经营甲、乙类易燃易爆化学物品营业面积在300平方米以上的商店。</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方正黑体_GBK" w:hAnsi="方正黑体_GBK" w:eastAsia="方正黑体_GBK" w:cs="方正黑体_GBK"/>
          <w:sz w:val="32"/>
          <w:szCs w:val="32"/>
          <w:shd w:val="clear" w:color="auto" w:fill="FFFFFF"/>
        </w:rPr>
      </w:pPr>
      <w:r>
        <w:rPr>
          <w:rFonts w:hint="default" w:ascii="方正黑体_GBK" w:hAnsi="方正黑体_GBK" w:eastAsia="方正黑体_GBK" w:cs="方正黑体_GBK"/>
          <w:sz w:val="32"/>
          <w:szCs w:val="32"/>
          <w:shd w:val="clear" w:color="auto" w:fill="FFFFFF"/>
        </w:rPr>
        <w:t>九、劳动密集型生产、加工企业：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单个生产车间员工在100人以上的服装、鞋帽、玩具、食品等劳动密集型企业。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方正黑体_GBK" w:hAnsi="方正黑体_GBK" w:eastAsia="方正黑体_GBK" w:cs="方正黑体_GBK"/>
          <w:sz w:val="32"/>
          <w:szCs w:val="32"/>
          <w:shd w:val="clear" w:color="auto" w:fill="FFFFFF"/>
        </w:rPr>
      </w:pPr>
      <w:r>
        <w:rPr>
          <w:rFonts w:hint="default" w:ascii="方正黑体_GBK" w:hAnsi="方正黑体_GBK" w:eastAsia="方正黑体_GBK" w:cs="方正黑体_GBK"/>
          <w:sz w:val="32"/>
          <w:szCs w:val="32"/>
          <w:shd w:val="clear" w:color="auto" w:fill="FFFFFF"/>
        </w:rPr>
        <w:t>十、国家和省级科研单位。</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eastAsia="方正仿宋_GBK"/>
          <w:w w:val="100"/>
          <w:sz w:val="32"/>
          <w:szCs w:val="22"/>
          <w:lang w:eastAsia="zh-CN"/>
        </w:rPr>
      </w:pPr>
      <w:r>
        <w:rPr>
          <w:rFonts w:hint="default" w:ascii="方正黑体_GBK" w:hAnsi="方正黑体_GBK" w:eastAsia="方正黑体_GBK" w:cs="方正黑体_GBK"/>
          <w:sz w:val="32"/>
          <w:szCs w:val="32"/>
          <w:shd w:val="clear" w:color="auto" w:fill="FFFFFF"/>
        </w:rPr>
        <w:t>十一、高层公共建筑、地下铁道、地下观光隧道，粮、棉、木</w:t>
      </w:r>
      <w:r>
        <w:rPr>
          <w:rFonts w:hint="default" w:eastAsia="方正仿宋_GBK"/>
          <w:w w:val="100"/>
          <w:sz w:val="32"/>
          <w:szCs w:val="22"/>
          <w:lang w:eastAsia="zh-CN"/>
        </w:rPr>
        <w:t>材、百货等物资仓库和堆场，重点工程的施工现场：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eastAsia="方正仿宋_GBK"/>
          <w:w w:val="100"/>
          <w:sz w:val="32"/>
          <w:szCs w:val="22"/>
          <w:lang w:eastAsia="zh-CN"/>
        </w:rPr>
      </w:pPr>
      <w:r>
        <w:rPr>
          <w:rFonts w:hint="default" w:eastAsia="方正仿宋_GBK"/>
          <w:w w:val="100"/>
          <w:sz w:val="32"/>
          <w:szCs w:val="22"/>
          <w:lang w:eastAsia="zh-CN"/>
        </w:rPr>
        <w:t>（一）高层公共建筑建筑高度在50米以上的办公楼（写字楼）、公寓楼等；</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eastAsia="方正仿宋_GBK"/>
          <w:w w:val="100"/>
          <w:sz w:val="32"/>
          <w:szCs w:val="22"/>
          <w:lang w:eastAsia="zh-CN"/>
        </w:rPr>
      </w:pPr>
      <w:r>
        <w:rPr>
          <w:rFonts w:hint="default" w:eastAsia="方正仿宋_GBK"/>
          <w:w w:val="100"/>
          <w:sz w:val="32"/>
          <w:szCs w:val="22"/>
          <w:lang w:eastAsia="zh-CN"/>
        </w:rPr>
        <w:t>（二）城市地下铁道、地下观光隧道等地下公共建筑和城市重要的交通隧道；</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eastAsia="方正仿宋_GBK"/>
          <w:w w:val="100"/>
          <w:sz w:val="32"/>
          <w:szCs w:val="22"/>
          <w:lang w:eastAsia="zh-CN"/>
        </w:rPr>
      </w:pPr>
      <w:r>
        <w:rPr>
          <w:rFonts w:hint="default" w:eastAsia="方正仿宋_GBK"/>
          <w:w w:val="100"/>
          <w:sz w:val="32"/>
          <w:szCs w:val="22"/>
          <w:lang w:eastAsia="zh-CN"/>
        </w:rPr>
        <w:t>（三）国家储备粮库、总储量在10000吨以上的其他粮库；</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eastAsia="方正仿宋_GBK"/>
          <w:w w:val="100"/>
          <w:sz w:val="32"/>
          <w:szCs w:val="22"/>
          <w:lang w:eastAsia="zh-CN"/>
        </w:rPr>
      </w:pPr>
      <w:r>
        <w:rPr>
          <w:rFonts w:hint="default" w:eastAsia="方正仿宋_GBK"/>
          <w:w w:val="100"/>
          <w:sz w:val="32"/>
          <w:szCs w:val="22"/>
          <w:lang w:eastAsia="zh-CN"/>
        </w:rPr>
        <w:t>（四）总储量在500吨以上的棉库；</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eastAsia="方正仿宋_GBK"/>
          <w:w w:val="100"/>
          <w:sz w:val="32"/>
          <w:szCs w:val="22"/>
          <w:lang w:eastAsia="zh-CN"/>
        </w:rPr>
      </w:pPr>
      <w:r>
        <w:rPr>
          <w:rFonts w:hint="default" w:eastAsia="方正仿宋_GBK"/>
          <w:w w:val="100"/>
          <w:sz w:val="32"/>
          <w:szCs w:val="22"/>
          <w:lang w:eastAsia="zh-CN"/>
        </w:rPr>
        <w:t>（五</w:t>
      </w:r>
      <w:r>
        <w:rPr>
          <w:rFonts w:hint="eastAsia" w:eastAsia="方正仿宋_GBK"/>
          <w:w w:val="100"/>
          <w:sz w:val="32"/>
          <w:szCs w:val="22"/>
          <w:lang w:eastAsia="zh-CN"/>
        </w:rPr>
        <w:t>）</w:t>
      </w:r>
      <w:r>
        <w:rPr>
          <w:rFonts w:hint="default" w:eastAsia="方正仿宋_GBK"/>
          <w:w w:val="100"/>
          <w:sz w:val="32"/>
          <w:szCs w:val="22"/>
          <w:lang w:eastAsia="zh-CN"/>
        </w:rPr>
        <w:t>总储量在10000立方米以上的木材堆场；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eastAsia="方正仿宋_GBK"/>
          <w:w w:val="100"/>
          <w:sz w:val="32"/>
          <w:szCs w:val="22"/>
          <w:lang w:eastAsia="zh-CN"/>
        </w:rPr>
      </w:pPr>
      <w:r>
        <w:rPr>
          <w:rFonts w:hint="default" w:eastAsia="方正仿宋_GBK"/>
          <w:w w:val="100"/>
          <w:sz w:val="32"/>
          <w:szCs w:val="22"/>
          <w:lang w:eastAsia="zh-CN"/>
        </w:rPr>
        <w:t>（六）总储存价值在5000万元以上的可燃物品仓库、堆场；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eastAsia="方正仿宋_GBK"/>
          <w:w w:val="100"/>
          <w:sz w:val="32"/>
          <w:szCs w:val="22"/>
          <w:lang w:eastAsia="zh-CN"/>
        </w:rPr>
      </w:pPr>
      <w:r>
        <w:rPr>
          <w:rFonts w:hint="default" w:eastAsia="方正仿宋_GBK"/>
          <w:w w:val="100"/>
          <w:sz w:val="32"/>
          <w:szCs w:val="22"/>
          <w:lang w:eastAsia="zh-CN"/>
        </w:rPr>
        <w:t>（七）国家和省级等重点建筑工程的施工现场。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十二、其他发生火灾可能性较大以及一旦发生火灾可能造成人身重大伤亡或者财产重大损失的单位。</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说明：</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1.一个物业小区内有多栋高层公寓等建筑物而且同属一个产权单位或物业管理单位的，可算一个消防安全重点单位。</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shd w:val="clear" w:color="auto" w:fill="FFFFFF"/>
        </w:rPr>
        <w:sectPr>
          <w:pgSz w:w="11906" w:h="16838"/>
          <w:pgMar w:top="2098" w:right="1474" w:bottom="1440" w:left="1587" w:header="851" w:footer="992" w:gutter="0"/>
          <w:pgNumType w:fmt="decimal"/>
          <w:cols w:space="425" w:num="1"/>
          <w:docGrid w:type="lines" w:linePitch="312" w:charSpace="0"/>
        </w:sectPr>
      </w:pPr>
      <w:r>
        <w:rPr>
          <w:rFonts w:hint="default" w:ascii="Times New Roman" w:hAnsi="Times New Roman" w:eastAsia="方正仿宋_GBK" w:cs="Times New Roman"/>
          <w:sz w:val="32"/>
          <w:szCs w:val="32"/>
          <w:shd w:val="clear" w:color="auto" w:fill="FFFFFF"/>
        </w:rPr>
        <w:t>2.在一个符合界定标准的单位或建筑物内另有符合界定标准而法人不同的单位，可分别算为消防安全重点单位，法人相同但多家承包、租赁的可算为一个消防安全重点单位。</w:t>
      </w:r>
    </w:p>
    <w:p>
      <w:pPr>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2</w:t>
      </w:r>
    </w:p>
    <w:p>
      <w:pPr>
        <w:jc w:val="center"/>
        <w:rPr>
          <w:b/>
          <w:bCs/>
          <w:sz w:val="36"/>
        </w:rPr>
      </w:pPr>
      <w:r>
        <w:rPr>
          <w:rFonts w:eastAsia="方正黑体_GBK"/>
          <w:sz w:val="36"/>
          <w:szCs w:val="36"/>
        </w:rPr>
        <w:t>消防安全重点单位备案申报表</w:t>
      </w:r>
    </w:p>
    <w:tbl>
      <w:tblPr>
        <w:tblStyle w:val="4"/>
        <w:tblpPr w:leftFromText="180" w:rightFromText="180" w:vertAnchor="text" w:horzAnchor="page" w:tblpX="1440" w:tblpY="182"/>
        <w:tblOverlap w:val="never"/>
        <w:tblW w:w="90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1204"/>
        <w:gridCol w:w="700"/>
        <w:gridCol w:w="3153"/>
        <w:gridCol w:w="1547"/>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725" w:type="dxa"/>
            <w:gridSpan w:val="2"/>
            <w:noWrap w:val="0"/>
            <w:vAlign w:val="center"/>
          </w:tcPr>
          <w:p>
            <w:pPr>
              <w:spacing w:line="280" w:lineRule="exact"/>
              <w:jc w:val="center"/>
              <w:rPr>
                <w:rFonts w:eastAsia="方正仿宋_GBK"/>
                <w:sz w:val="18"/>
                <w:szCs w:val="18"/>
              </w:rPr>
            </w:pPr>
            <w:r>
              <w:rPr>
                <w:rFonts w:eastAsia="方正仿宋_GBK"/>
                <w:sz w:val="18"/>
                <w:szCs w:val="18"/>
              </w:rPr>
              <w:t>法定名称</w:t>
            </w:r>
          </w:p>
        </w:tc>
        <w:tc>
          <w:tcPr>
            <w:tcW w:w="3853" w:type="dxa"/>
            <w:gridSpan w:val="2"/>
            <w:noWrap w:val="0"/>
            <w:vAlign w:val="center"/>
          </w:tcPr>
          <w:p>
            <w:pPr>
              <w:spacing w:line="280" w:lineRule="exact"/>
              <w:jc w:val="center"/>
              <w:rPr>
                <w:rFonts w:eastAsia="方正仿宋_GBK"/>
                <w:sz w:val="18"/>
                <w:szCs w:val="18"/>
              </w:rPr>
            </w:pPr>
            <w:r>
              <w:rPr>
                <w:rFonts w:eastAsia="方正仿宋_GBK"/>
                <w:sz w:val="18"/>
                <w:szCs w:val="18"/>
              </w:rPr>
              <w:t>××管理有限公司</w:t>
            </w:r>
          </w:p>
        </w:tc>
        <w:tc>
          <w:tcPr>
            <w:tcW w:w="1547" w:type="dxa"/>
            <w:noWrap w:val="0"/>
            <w:vAlign w:val="center"/>
          </w:tcPr>
          <w:p>
            <w:pPr>
              <w:spacing w:line="280" w:lineRule="exact"/>
              <w:jc w:val="center"/>
              <w:rPr>
                <w:rFonts w:eastAsia="方正仿宋_GBK"/>
                <w:sz w:val="18"/>
                <w:szCs w:val="18"/>
              </w:rPr>
            </w:pPr>
            <w:r>
              <w:rPr>
                <w:rFonts w:eastAsia="方正仿宋_GBK"/>
                <w:sz w:val="18"/>
                <w:szCs w:val="18"/>
              </w:rPr>
              <w:t>法定代表人</w:t>
            </w:r>
          </w:p>
        </w:tc>
        <w:tc>
          <w:tcPr>
            <w:tcW w:w="1968" w:type="dxa"/>
            <w:noWrap w:val="0"/>
            <w:vAlign w:val="center"/>
          </w:tcPr>
          <w:p>
            <w:pPr>
              <w:spacing w:line="280" w:lineRule="exact"/>
              <w:jc w:val="center"/>
              <w:rPr>
                <w:rFonts w:eastAsia="方正仿宋_GBK"/>
                <w:sz w:val="18"/>
                <w:szCs w:val="18"/>
              </w:rPr>
            </w:pPr>
            <w:r>
              <w:rPr>
                <w:rFonts w:eastAsia="方正仿宋_GBK"/>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725" w:type="dxa"/>
            <w:gridSpan w:val="2"/>
            <w:noWrap w:val="0"/>
            <w:vAlign w:val="center"/>
          </w:tcPr>
          <w:p>
            <w:pPr>
              <w:spacing w:line="280" w:lineRule="exact"/>
              <w:jc w:val="center"/>
              <w:rPr>
                <w:rFonts w:eastAsia="方正仿宋_GBK"/>
                <w:sz w:val="18"/>
                <w:szCs w:val="18"/>
              </w:rPr>
            </w:pPr>
            <w:r>
              <w:rPr>
                <w:rFonts w:eastAsia="方正仿宋_GBK"/>
                <w:sz w:val="18"/>
                <w:szCs w:val="18"/>
              </w:rPr>
              <w:t>地    址</w:t>
            </w:r>
          </w:p>
        </w:tc>
        <w:tc>
          <w:tcPr>
            <w:tcW w:w="3853" w:type="dxa"/>
            <w:gridSpan w:val="2"/>
            <w:noWrap w:val="0"/>
            <w:vAlign w:val="center"/>
          </w:tcPr>
          <w:p>
            <w:pPr>
              <w:spacing w:line="280" w:lineRule="exact"/>
              <w:jc w:val="center"/>
              <w:rPr>
                <w:rFonts w:eastAsia="方正仿宋_GBK"/>
                <w:sz w:val="18"/>
                <w:szCs w:val="18"/>
              </w:rPr>
            </w:pPr>
            <w:r>
              <w:rPr>
                <w:rFonts w:eastAsia="方正仿宋_GBK"/>
                <w:sz w:val="18"/>
                <w:szCs w:val="18"/>
              </w:rPr>
              <w:t>××市××区××路</w:t>
            </w:r>
          </w:p>
        </w:tc>
        <w:tc>
          <w:tcPr>
            <w:tcW w:w="1547" w:type="dxa"/>
            <w:noWrap w:val="0"/>
            <w:vAlign w:val="center"/>
          </w:tcPr>
          <w:p>
            <w:pPr>
              <w:spacing w:line="280" w:lineRule="exact"/>
              <w:jc w:val="center"/>
              <w:rPr>
                <w:rFonts w:eastAsia="方正仿宋_GBK"/>
                <w:sz w:val="18"/>
                <w:szCs w:val="18"/>
              </w:rPr>
            </w:pPr>
            <w:r>
              <w:rPr>
                <w:rFonts w:eastAsia="方正仿宋_GBK"/>
                <w:sz w:val="18"/>
                <w:szCs w:val="18"/>
              </w:rPr>
              <w:t>联系电话</w:t>
            </w:r>
          </w:p>
        </w:tc>
        <w:tc>
          <w:tcPr>
            <w:tcW w:w="1968" w:type="dxa"/>
            <w:noWrap w:val="0"/>
            <w:vAlign w:val="center"/>
          </w:tcPr>
          <w:p>
            <w:pPr>
              <w:spacing w:line="280" w:lineRule="exact"/>
              <w:jc w:val="center"/>
              <w:rPr>
                <w:rFonts w:eastAsia="方正仿宋_GBK"/>
                <w:sz w:val="18"/>
                <w:szCs w:val="18"/>
              </w:rPr>
            </w:pPr>
            <w:r>
              <w:rPr>
                <w:rFonts w:eastAsia="方正仿宋_GBK"/>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425" w:type="dxa"/>
            <w:gridSpan w:val="3"/>
            <w:noWrap w:val="0"/>
            <w:vAlign w:val="center"/>
          </w:tcPr>
          <w:p>
            <w:pPr>
              <w:spacing w:line="280" w:lineRule="exact"/>
              <w:rPr>
                <w:rFonts w:eastAsia="方正仿宋_GBK"/>
                <w:sz w:val="18"/>
                <w:szCs w:val="18"/>
              </w:rPr>
            </w:pPr>
            <w:r>
              <w:rPr>
                <w:rFonts w:eastAsia="方正仿宋_GBK"/>
                <w:sz w:val="18"/>
                <w:szCs w:val="18"/>
              </w:rPr>
              <w:t>是否原消防重点单位</w:t>
            </w:r>
          </w:p>
        </w:tc>
        <w:tc>
          <w:tcPr>
            <w:tcW w:w="6668" w:type="dxa"/>
            <w:gridSpan w:val="3"/>
            <w:noWrap w:val="0"/>
            <w:vAlign w:val="center"/>
          </w:tcPr>
          <w:p>
            <w:pPr>
              <w:spacing w:line="280" w:lineRule="exact"/>
              <w:rPr>
                <w:rFonts w:eastAsia="方正仿宋_GBK"/>
                <w:sz w:val="18"/>
                <w:szCs w:val="18"/>
              </w:rPr>
            </w:pPr>
            <w:r>
              <w:rPr>
                <w:rFonts w:eastAsia="方正仿宋_GBK"/>
                <w:sz w:val="18"/>
                <w:szCs w:val="18"/>
              </w:rPr>
              <w:t>□否      □一级□二级□三级消防重点单位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521" w:type="dxa"/>
            <w:vMerge w:val="restart"/>
            <w:noWrap w:val="0"/>
            <w:vAlign w:val="center"/>
          </w:tcPr>
          <w:p>
            <w:pPr>
              <w:spacing w:line="280" w:lineRule="exact"/>
              <w:rPr>
                <w:rFonts w:eastAsia="方正仿宋_GBK"/>
                <w:sz w:val="18"/>
                <w:szCs w:val="18"/>
              </w:rPr>
            </w:pPr>
            <w:r>
              <w:rPr>
                <w:rFonts w:eastAsia="方正仿宋_GBK"/>
                <w:sz w:val="18"/>
                <w:szCs w:val="18"/>
              </w:rPr>
              <w:t>申</w:t>
            </w:r>
          </w:p>
          <w:p>
            <w:pPr>
              <w:spacing w:line="280" w:lineRule="exact"/>
              <w:rPr>
                <w:rFonts w:eastAsia="方正仿宋_GBK"/>
                <w:sz w:val="18"/>
                <w:szCs w:val="18"/>
              </w:rPr>
            </w:pPr>
          </w:p>
          <w:p>
            <w:pPr>
              <w:spacing w:line="280" w:lineRule="exact"/>
              <w:rPr>
                <w:rFonts w:eastAsia="方正仿宋_GBK"/>
                <w:sz w:val="18"/>
                <w:szCs w:val="18"/>
              </w:rPr>
            </w:pPr>
          </w:p>
          <w:p>
            <w:pPr>
              <w:spacing w:line="280" w:lineRule="exact"/>
              <w:rPr>
                <w:rFonts w:eastAsia="方正仿宋_GBK"/>
                <w:sz w:val="18"/>
                <w:szCs w:val="18"/>
              </w:rPr>
            </w:pPr>
            <w:r>
              <w:rPr>
                <w:rFonts w:eastAsia="方正仿宋_GBK"/>
                <w:sz w:val="18"/>
                <w:szCs w:val="18"/>
              </w:rPr>
              <w:t>报</w:t>
            </w:r>
          </w:p>
          <w:p>
            <w:pPr>
              <w:spacing w:line="280" w:lineRule="exact"/>
              <w:rPr>
                <w:rFonts w:eastAsia="方正仿宋_GBK"/>
                <w:sz w:val="18"/>
                <w:szCs w:val="18"/>
              </w:rPr>
            </w:pPr>
          </w:p>
          <w:p>
            <w:pPr>
              <w:spacing w:line="280" w:lineRule="exact"/>
              <w:rPr>
                <w:rFonts w:eastAsia="方正仿宋_GBK"/>
                <w:sz w:val="18"/>
                <w:szCs w:val="18"/>
              </w:rPr>
            </w:pPr>
          </w:p>
          <w:p>
            <w:pPr>
              <w:spacing w:line="280" w:lineRule="exact"/>
              <w:rPr>
                <w:rFonts w:eastAsia="方正仿宋_GBK"/>
                <w:sz w:val="18"/>
                <w:szCs w:val="18"/>
              </w:rPr>
            </w:pPr>
            <w:r>
              <w:rPr>
                <w:rFonts w:eastAsia="方正仿宋_GBK"/>
                <w:sz w:val="18"/>
                <w:szCs w:val="18"/>
              </w:rPr>
              <w:t>单</w:t>
            </w:r>
          </w:p>
          <w:p>
            <w:pPr>
              <w:spacing w:line="280" w:lineRule="exact"/>
              <w:rPr>
                <w:rFonts w:eastAsia="方正仿宋_GBK"/>
                <w:sz w:val="18"/>
                <w:szCs w:val="18"/>
              </w:rPr>
            </w:pPr>
          </w:p>
          <w:p>
            <w:pPr>
              <w:spacing w:line="280" w:lineRule="exact"/>
              <w:rPr>
                <w:rFonts w:eastAsia="方正仿宋_GBK"/>
                <w:sz w:val="18"/>
                <w:szCs w:val="18"/>
              </w:rPr>
            </w:pPr>
          </w:p>
          <w:p>
            <w:pPr>
              <w:spacing w:line="280" w:lineRule="exact"/>
              <w:rPr>
                <w:rFonts w:eastAsia="方正仿宋_GBK"/>
                <w:sz w:val="18"/>
                <w:szCs w:val="18"/>
              </w:rPr>
            </w:pPr>
            <w:r>
              <w:rPr>
                <w:rFonts w:eastAsia="方正仿宋_GBK"/>
                <w:sz w:val="18"/>
                <w:szCs w:val="18"/>
              </w:rPr>
              <w:t>位</w:t>
            </w:r>
          </w:p>
          <w:p>
            <w:pPr>
              <w:spacing w:line="280" w:lineRule="exact"/>
              <w:rPr>
                <w:rFonts w:eastAsia="方正仿宋_GBK"/>
                <w:sz w:val="18"/>
                <w:szCs w:val="18"/>
              </w:rPr>
            </w:pPr>
          </w:p>
          <w:p>
            <w:pPr>
              <w:spacing w:line="280" w:lineRule="exact"/>
              <w:rPr>
                <w:rFonts w:eastAsia="方正仿宋_GBK"/>
                <w:sz w:val="18"/>
                <w:szCs w:val="18"/>
              </w:rPr>
            </w:pPr>
          </w:p>
          <w:p>
            <w:pPr>
              <w:spacing w:line="280" w:lineRule="exact"/>
              <w:rPr>
                <w:rFonts w:eastAsia="方正仿宋_GBK"/>
                <w:sz w:val="18"/>
                <w:szCs w:val="18"/>
              </w:rPr>
            </w:pPr>
            <w:r>
              <w:rPr>
                <w:rFonts w:eastAsia="方正仿宋_GBK"/>
                <w:sz w:val="18"/>
                <w:szCs w:val="18"/>
              </w:rPr>
              <w:t>属</w:t>
            </w:r>
          </w:p>
          <w:p>
            <w:pPr>
              <w:spacing w:line="280" w:lineRule="exact"/>
              <w:rPr>
                <w:rFonts w:eastAsia="方正仿宋_GBK"/>
                <w:sz w:val="18"/>
                <w:szCs w:val="18"/>
              </w:rPr>
            </w:pPr>
          </w:p>
          <w:p>
            <w:pPr>
              <w:spacing w:line="280" w:lineRule="exact"/>
              <w:rPr>
                <w:rFonts w:eastAsia="方正仿宋_GBK"/>
                <w:sz w:val="18"/>
                <w:szCs w:val="18"/>
              </w:rPr>
            </w:pPr>
          </w:p>
          <w:p>
            <w:pPr>
              <w:spacing w:line="280" w:lineRule="exact"/>
              <w:rPr>
                <w:rFonts w:eastAsia="方正仿宋_GBK"/>
                <w:sz w:val="18"/>
                <w:szCs w:val="18"/>
              </w:rPr>
            </w:pPr>
            <w:r>
              <w:rPr>
                <w:rFonts w:eastAsia="方正仿宋_GBK"/>
                <w:sz w:val="18"/>
                <w:szCs w:val="18"/>
              </w:rPr>
              <w:t>性</w:t>
            </w:r>
          </w:p>
        </w:tc>
        <w:tc>
          <w:tcPr>
            <w:tcW w:w="8572" w:type="dxa"/>
            <w:gridSpan w:val="5"/>
            <w:noWrap w:val="0"/>
            <w:vAlign w:val="center"/>
          </w:tcPr>
          <w:p>
            <w:pPr>
              <w:adjustRightInd w:val="0"/>
              <w:snapToGrid w:val="0"/>
              <w:spacing w:line="280" w:lineRule="exact"/>
              <w:rPr>
                <w:rFonts w:eastAsia="方正仿宋_GBK"/>
                <w:sz w:val="18"/>
                <w:szCs w:val="18"/>
              </w:rPr>
            </w:pPr>
            <w:r>
              <w:rPr>
                <w:rFonts w:eastAsia="方正仿宋_GBK"/>
                <w:sz w:val="18"/>
                <w:szCs w:val="18"/>
              </w:rPr>
              <w:t>□建筑面积在1000平方米以上且经营可燃商品的商场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521" w:type="dxa"/>
            <w:vMerge w:val="continue"/>
            <w:noWrap w:val="0"/>
            <w:vAlign w:val="center"/>
          </w:tcPr>
          <w:p>
            <w:pPr>
              <w:spacing w:line="280" w:lineRule="exact"/>
              <w:rPr>
                <w:rFonts w:eastAsia="方正仿宋_GBK"/>
                <w:sz w:val="18"/>
                <w:szCs w:val="18"/>
              </w:rPr>
            </w:pPr>
          </w:p>
        </w:tc>
        <w:tc>
          <w:tcPr>
            <w:tcW w:w="8572" w:type="dxa"/>
            <w:gridSpan w:val="5"/>
            <w:noWrap w:val="0"/>
            <w:vAlign w:val="center"/>
          </w:tcPr>
          <w:p>
            <w:pPr>
              <w:adjustRightInd w:val="0"/>
              <w:snapToGrid w:val="0"/>
              <w:spacing w:line="280" w:lineRule="exact"/>
              <w:rPr>
                <w:rFonts w:eastAsia="方正仿宋_GBK"/>
                <w:sz w:val="18"/>
                <w:szCs w:val="18"/>
              </w:rPr>
            </w:pPr>
            <w:r>
              <w:rPr>
                <w:rFonts w:eastAsia="方正仿宋_GBK"/>
                <w:sz w:val="18"/>
                <w:szCs w:val="18"/>
              </w:rPr>
              <w:t>□客房数在50间以上，或客房数在50间以下但设有商场、歌舞娱乐、餐饮场所等且建筑面积大于2000平方米的宾馆、饭店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 w:hRule="atLeast"/>
        </w:trPr>
        <w:tc>
          <w:tcPr>
            <w:tcW w:w="521" w:type="dxa"/>
            <w:vMerge w:val="continue"/>
            <w:noWrap w:val="0"/>
            <w:vAlign w:val="center"/>
          </w:tcPr>
          <w:p>
            <w:pPr>
              <w:spacing w:line="280" w:lineRule="exact"/>
              <w:rPr>
                <w:rFonts w:eastAsia="方正仿宋_GBK"/>
                <w:sz w:val="18"/>
                <w:szCs w:val="18"/>
              </w:rPr>
            </w:pPr>
          </w:p>
        </w:tc>
        <w:tc>
          <w:tcPr>
            <w:tcW w:w="8572" w:type="dxa"/>
            <w:gridSpan w:val="5"/>
            <w:noWrap w:val="0"/>
            <w:vAlign w:val="center"/>
          </w:tcPr>
          <w:p>
            <w:pPr>
              <w:adjustRightInd w:val="0"/>
              <w:snapToGrid w:val="0"/>
              <w:spacing w:line="280" w:lineRule="exact"/>
              <w:rPr>
                <w:rFonts w:eastAsia="方正仿宋_GBK"/>
                <w:sz w:val="18"/>
                <w:szCs w:val="18"/>
              </w:rPr>
            </w:pPr>
            <w:r>
              <w:rPr>
                <w:rFonts w:eastAsia="方正仿宋_GBK"/>
                <w:sz w:val="18"/>
                <w:szCs w:val="18"/>
              </w:rPr>
              <w:t>□公共的体育场馆、会堂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521" w:type="dxa"/>
            <w:vMerge w:val="continue"/>
            <w:noWrap w:val="0"/>
            <w:vAlign w:val="center"/>
          </w:tcPr>
          <w:p>
            <w:pPr>
              <w:spacing w:line="280" w:lineRule="exact"/>
              <w:rPr>
                <w:rFonts w:eastAsia="方正仿宋_GBK"/>
                <w:sz w:val="18"/>
                <w:szCs w:val="18"/>
              </w:rPr>
            </w:pPr>
          </w:p>
        </w:tc>
        <w:tc>
          <w:tcPr>
            <w:tcW w:w="8572" w:type="dxa"/>
            <w:gridSpan w:val="5"/>
            <w:noWrap w:val="0"/>
            <w:vAlign w:val="center"/>
          </w:tcPr>
          <w:p>
            <w:pPr>
              <w:adjustRightInd w:val="0"/>
              <w:snapToGrid w:val="0"/>
              <w:spacing w:line="280" w:lineRule="exact"/>
              <w:rPr>
                <w:rFonts w:eastAsia="方正仿宋_GBK"/>
                <w:sz w:val="18"/>
                <w:szCs w:val="18"/>
              </w:rPr>
            </w:pPr>
            <w:r>
              <w:rPr>
                <w:rFonts w:eastAsia="方正仿宋_GBK"/>
                <w:sz w:val="18"/>
                <w:szCs w:val="18"/>
              </w:rPr>
              <w:t>□建筑面积在200平方米以上的下列公共娱乐场所：1、影剧院、放映厅、礼堂等演出放映场所；2、舞厅、KTV等歌舞娱乐场所；3、具有娱乐功能的夜总会、音乐茶座和餐饮场所；4、游艺、游乐场所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521" w:type="dxa"/>
            <w:vMerge w:val="continue"/>
            <w:noWrap w:val="0"/>
            <w:vAlign w:val="center"/>
          </w:tcPr>
          <w:p>
            <w:pPr>
              <w:spacing w:line="280" w:lineRule="exact"/>
              <w:rPr>
                <w:rFonts w:eastAsia="方正仿宋_GBK"/>
                <w:sz w:val="18"/>
                <w:szCs w:val="18"/>
              </w:rPr>
            </w:pPr>
          </w:p>
        </w:tc>
        <w:tc>
          <w:tcPr>
            <w:tcW w:w="8572" w:type="dxa"/>
            <w:gridSpan w:val="5"/>
            <w:noWrap w:val="0"/>
            <w:vAlign w:val="center"/>
          </w:tcPr>
          <w:p>
            <w:pPr>
              <w:adjustRightInd w:val="0"/>
              <w:snapToGrid w:val="0"/>
              <w:spacing w:line="280" w:lineRule="exact"/>
              <w:rPr>
                <w:rFonts w:eastAsia="方正仿宋_GBK"/>
                <w:sz w:val="18"/>
                <w:szCs w:val="18"/>
              </w:rPr>
            </w:pPr>
            <w:r>
              <w:rPr>
                <w:rFonts w:eastAsia="方正仿宋_GBK"/>
                <w:sz w:val="18"/>
                <w:szCs w:val="18"/>
              </w:rPr>
              <w:t>□建筑面积在500平方米以上的足浴、美容院、桑拿浴室（洗浴部分面积除外）等营业性健身、休闲场所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521" w:type="dxa"/>
            <w:vMerge w:val="continue"/>
            <w:noWrap w:val="0"/>
            <w:vAlign w:val="center"/>
          </w:tcPr>
          <w:p>
            <w:pPr>
              <w:spacing w:line="280" w:lineRule="exact"/>
              <w:rPr>
                <w:rFonts w:eastAsia="方正仿宋_GBK"/>
                <w:sz w:val="18"/>
                <w:szCs w:val="18"/>
              </w:rPr>
            </w:pPr>
          </w:p>
        </w:tc>
        <w:tc>
          <w:tcPr>
            <w:tcW w:w="8572" w:type="dxa"/>
            <w:gridSpan w:val="5"/>
            <w:noWrap w:val="0"/>
            <w:vAlign w:val="center"/>
          </w:tcPr>
          <w:p>
            <w:pPr>
              <w:adjustRightInd w:val="0"/>
              <w:snapToGrid w:val="0"/>
              <w:spacing w:line="280" w:lineRule="exact"/>
              <w:rPr>
                <w:rFonts w:eastAsia="方正仿宋_GBK"/>
                <w:sz w:val="18"/>
                <w:szCs w:val="18"/>
              </w:rPr>
            </w:pPr>
            <w:r>
              <w:rPr>
                <w:rFonts w:eastAsia="方正仿宋_GBK"/>
                <w:sz w:val="18"/>
                <w:szCs w:val="18"/>
              </w:rPr>
              <w:t>□住院床位在50张以上的医疗保健机构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521" w:type="dxa"/>
            <w:vMerge w:val="continue"/>
            <w:noWrap w:val="0"/>
            <w:vAlign w:val="center"/>
          </w:tcPr>
          <w:p>
            <w:pPr>
              <w:spacing w:line="280" w:lineRule="exact"/>
              <w:rPr>
                <w:rFonts w:eastAsia="方正仿宋_GBK"/>
                <w:sz w:val="18"/>
                <w:szCs w:val="18"/>
              </w:rPr>
            </w:pPr>
          </w:p>
        </w:tc>
        <w:tc>
          <w:tcPr>
            <w:tcW w:w="8572" w:type="dxa"/>
            <w:gridSpan w:val="5"/>
            <w:noWrap w:val="0"/>
            <w:vAlign w:val="center"/>
          </w:tcPr>
          <w:p>
            <w:pPr>
              <w:adjustRightInd w:val="0"/>
              <w:snapToGrid w:val="0"/>
              <w:spacing w:line="280" w:lineRule="exact"/>
              <w:rPr>
                <w:rFonts w:eastAsia="方正仿宋_GBK"/>
                <w:sz w:val="18"/>
                <w:szCs w:val="18"/>
              </w:rPr>
            </w:pPr>
            <w:r>
              <w:rPr>
                <w:rFonts w:eastAsia="方正仿宋_GBK"/>
                <w:sz w:val="18"/>
                <w:szCs w:val="18"/>
              </w:rPr>
              <w:t xml:space="preserve">□学生住宿床位在100张以上的学校   □幼儿住宿床位在50张以上的托儿所、幼儿园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521" w:type="dxa"/>
            <w:vMerge w:val="continue"/>
            <w:noWrap w:val="0"/>
            <w:vAlign w:val="center"/>
          </w:tcPr>
          <w:p>
            <w:pPr>
              <w:spacing w:line="280" w:lineRule="exact"/>
              <w:rPr>
                <w:rFonts w:eastAsia="方正仿宋_GBK"/>
                <w:sz w:val="18"/>
                <w:szCs w:val="18"/>
              </w:rPr>
            </w:pPr>
          </w:p>
        </w:tc>
        <w:tc>
          <w:tcPr>
            <w:tcW w:w="8572" w:type="dxa"/>
            <w:gridSpan w:val="5"/>
            <w:noWrap w:val="0"/>
            <w:vAlign w:val="center"/>
          </w:tcPr>
          <w:p>
            <w:pPr>
              <w:adjustRightInd w:val="0"/>
              <w:snapToGrid w:val="0"/>
              <w:spacing w:line="280" w:lineRule="exact"/>
              <w:rPr>
                <w:rFonts w:eastAsia="方正仿宋_GBK"/>
                <w:sz w:val="18"/>
                <w:szCs w:val="18"/>
              </w:rPr>
            </w:pPr>
            <w:r>
              <w:rPr>
                <w:rFonts w:eastAsia="方正仿宋_GBK"/>
                <w:sz w:val="18"/>
                <w:szCs w:val="18"/>
              </w:rPr>
              <w:t xml:space="preserve">□县级以上广播电台、电视台  □县级以上邮政、通信枢纽单位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521" w:type="dxa"/>
            <w:vMerge w:val="continue"/>
            <w:noWrap w:val="0"/>
            <w:vAlign w:val="center"/>
          </w:tcPr>
          <w:p>
            <w:pPr>
              <w:spacing w:line="280" w:lineRule="exact"/>
              <w:rPr>
                <w:rFonts w:eastAsia="方正仿宋_GBK"/>
                <w:sz w:val="18"/>
                <w:szCs w:val="18"/>
              </w:rPr>
            </w:pPr>
          </w:p>
        </w:tc>
        <w:tc>
          <w:tcPr>
            <w:tcW w:w="8572" w:type="dxa"/>
            <w:gridSpan w:val="5"/>
            <w:noWrap w:val="0"/>
            <w:vAlign w:val="center"/>
          </w:tcPr>
          <w:p>
            <w:pPr>
              <w:adjustRightInd w:val="0"/>
              <w:snapToGrid w:val="0"/>
              <w:spacing w:line="280" w:lineRule="exact"/>
              <w:rPr>
                <w:rFonts w:eastAsia="方正仿宋_GBK"/>
                <w:sz w:val="18"/>
                <w:szCs w:val="18"/>
              </w:rPr>
            </w:pPr>
            <w:r>
              <w:rPr>
                <w:rFonts w:eastAsia="方正仿宋_GBK"/>
                <w:sz w:val="18"/>
                <w:szCs w:val="18"/>
              </w:rPr>
              <w:t xml:space="preserve">□县级以上的党委、人大、政府、政协  □县级以上人民检察院、人民法院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521" w:type="dxa"/>
            <w:vMerge w:val="continue"/>
            <w:noWrap w:val="0"/>
            <w:vAlign w:val="center"/>
          </w:tcPr>
          <w:p>
            <w:pPr>
              <w:spacing w:line="280" w:lineRule="exact"/>
              <w:rPr>
                <w:rFonts w:eastAsia="方正仿宋_GBK"/>
                <w:sz w:val="18"/>
                <w:szCs w:val="18"/>
              </w:rPr>
            </w:pPr>
          </w:p>
        </w:tc>
        <w:tc>
          <w:tcPr>
            <w:tcW w:w="8572" w:type="dxa"/>
            <w:gridSpan w:val="5"/>
            <w:noWrap w:val="0"/>
            <w:vAlign w:val="center"/>
          </w:tcPr>
          <w:p>
            <w:pPr>
              <w:adjustRightInd w:val="0"/>
              <w:snapToGrid w:val="0"/>
              <w:spacing w:line="280" w:lineRule="exact"/>
              <w:rPr>
                <w:rFonts w:eastAsia="方正仿宋_GBK"/>
                <w:sz w:val="18"/>
                <w:szCs w:val="18"/>
              </w:rPr>
            </w:pPr>
            <w:r>
              <w:rPr>
                <w:rFonts w:eastAsia="方正仿宋_GBK"/>
                <w:sz w:val="18"/>
                <w:szCs w:val="18"/>
              </w:rPr>
              <w:t>□建筑面积在500平方米以上的客运车站侯车厅、客运码头候船厅      □民用机场航站楼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521" w:type="dxa"/>
            <w:vMerge w:val="continue"/>
            <w:noWrap w:val="0"/>
            <w:vAlign w:val="center"/>
          </w:tcPr>
          <w:p>
            <w:pPr>
              <w:spacing w:line="280" w:lineRule="exact"/>
              <w:rPr>
                <w:rFonts w:eastAsia="方正仿宋_GBK"/>
                <w:sz w:val="18"/>
                <w:szCs w:val="18"/>
              </w:rPr>
            </w:pPr>
          </w:p>
        </w:tc>
        <w:tc>
          <w:tcPr>
            <w:tcW w:w="8572" w:type="dxa"/>
            <w:gridSpan w:val="5"/>
            <w:noWrap w:val="0"/>
            <w:vAlign w:val="center"/>
          </w:tcPr>
          <w:p>
            <w:pPr>
              <w:adjustRightInd w:val="0"/>
              <w:snapToGrid w:val="0"/>
              <w:spacing w:line="280" w:lineRule="exact"/>
              <w:rPr>
                <w:rFonts w:eastAsia="方正仿宋_GBK"/>
                <w:sz w:val="18"/>
                <w:szCs w:val="18"/>
              </w:rPr>
            </w:pPr>
            <w:r>
              <w:rPr>
                <w:rFonts w:eastAsia="方正仿宋_GBK"/>
                <w:sz w:val="18"/>
                <w:szCs w:val="18"/>
              </w:rPr>
              <w:t xml:space="preserve">□公共博物馆，档案馆      □具有火灾危险性的县级以上文物保护单位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521" w:type="dxa"/>
            <w:vMerge w:val="continue"/>
            <w:noWrap w:val="0"/>
            <w:vAlign w:val="center"/>
          </w:tcPr>
          <w:p>
            <w:pPr>
              <w:spacing w:line="280" w:lineRule="exact"/>
              <w:rPr>
                <w:rFonts w:eastAsia="方正仿宋_GBK"/>
                <w:sz w:val="18"/>
                <w:szCs w:val="18"/>
              </w:rPr>
            </w:pPr>
          </w:p>
        </w:tc>
        <w:tc>
          <w:tcPr>
            <w:tcW w:w="8572" w:type="dxa"/>
            <w:gridSpan w:val="5"/>
            <w:noWrap w:val="0"/>
            <w:vAlign w:val="center"/>
          </w:tcPr>
          <w:p>
            <w:pPr>
              <w:adjustRightInd w:val="0"/>
              <w:snapToGrid w:val="0"/>
              <w:spacing w:line="280" w:lineRule="exact"/>
              <w:rPr>
                <w:rFonts w:eastAsia="方正仿宋_GBK"/>
                <w:sz w:val="18"/>
                <w:szCs w:val="18"/>
              </w:rPr>
            </w:pPr>
            <w:r>
              <w:rPr>
                <w:rFonts w:eastAsia="方正仿宋_GBK"/>
                <w:sz w:val="18"/>
                <w:szCs w:val="18"/>
              </w:rPr>
              <w:t>□建筑面积在2000平方米以上的公共图书馆、展览馆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trPr>
        <w:tc>
          <w:tcPr>
            <w:tcW w:w="521" w:type="dxa"/>
            <w:vMerge w:val="continue"/>
            <w:noWrap w:val="0"/>
            <w:vAlign w:val="center"/>
          </w:tcPr>
          <w:p>
            <w:pPr>
              <w:spacing w:line="280" w:lineRule="exact"/>
              <w:rPr>
                <w:rFonts w:eastAsia="方正仿宋_GBK"/>
                <w:sz w:val="18"/>
                <w:szCs w:val="18"/>
              </w:rPr>
            </w:pPr>
          </w:p>
        </w:tc>
        <w:tc>
          <w:tcPr>
            <w:tcW w:w="8572" w:type="dxa"/>
            <w:gridSpan w:val="5"/>
            <w:noWrap w:val="0"/>
            <w:vAlign w:val="center"/>
          </w:tcPr>
          <w:p>
            <w:pPr>
              <w:spacing w:line="280" w:lineRule="exact"/>
              <w:rPr>
                <w:rFonts w:eastAsia="方正仿宋_GBK"/>
                <w:sz w:val="18"/>
                <w:szCs w:val="18"/>
              </w:rPr>
            </w:pPr>
            <w:r>
              <w:rPr>
                <w:rFonts w:eastAsia="方正仿宋_GBK"/>
                <w:sz w:val="18"/>
                <w:szCs w:val="18"/>
              </w:rPr>
              <w:t>□发电厂（站）和电网经营企业</w:t>
            </w:r>
            <w:r>
              <w:rPr>
                <w:rFonts w:eastAsia="方正仿宋_GBK"/>
                <w:sz w:val="18"/>
                <w:szCs w:val="18"/>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trPr>
        <w:tc>
          <w:tcPr>
            <w:tcW w:w="521" w:type="dxa"/>
            <w:vMerge w:val="continue"/>
            <w:noWrap w:val="0"/>
            <w:vAlign w:val="center"/>
          </w:tcPr>
          <w:p>
            <w:pPr>
              <w:spacing w:line="280" w:lineRule="exact"/>
              <w:rPr>
                <w:rFonts w:eastAsia="方正仿宋_GBK"/>
                <w:sz w:val="18"/>
                <w:szCs w:val="18"/>
              </w:rPr>
            </w:pPr>
          </w:p>
        </w:tc>
        <w:tc>
          <w:tcPr>
            <w:tcW w:w="8572" w:type="dxa"/>
            <w:gridSpan w:val="5"/>
            <w:noWrap w:val="0"/>
            <w:vAlign w:val="center"/>
          </w:tcPr>
          <w:p>
            <w:pPr>
              <w:adjustRightInd w:val="0"/>
              <w:snapToGrid w:val="0"/>
              <w:spacing w:line="280" w:lineRule="exact"/>
              <w:rPr>
                <w:rFonts w:eastAsia="方正仿宋_GBK"/>
                <w:sz w:val="18"/>
                <w:szCs w:val="18"/>
              </w:rPr>
            </w:pPr>
            <w:r>
              <w:rPr>
                <w:rFonts w:eastAsia="方正仿宋_GBK"/>
                <w:sz w:val="18"/>
                <w:szCs w:val="18"/>
              </w:rPr>
              <w:t>□生产易燃易爆化学物品的工厂      □易燃易爆气体和液体灌装站和调压站         □储存易燃易爆化学物品的专用仓库  □营业性加油站、加气站，液化石油气供应站（换瓶站） □经营甲、乙类易燃易爆化学物品，营业面积在300平方米以上或者站内总存量300公斤或5立方米以上的商店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521" w:type="dxa"/>
            <w:vMerge w:val="continue"/>
            <w:noWrap w:val="0"/>
            <w:vAlign w:val="center"/>
          </w:tcPr>
          <w:p>
            <w:pPr>
              <w:spacing w:line="280" w:lineRule="exact"/>
              <w:rPr>
                <w:rFonts w:eastAsia="方正仿宋_GBK"/>
                <w:sz w:val="18"/>
                <w:szCs w:val="18"/>
              </w:rPr>
            </w:pPr>
          </w:p>
        </w:tc>
        <w:tc>
          <w:tcPr>
            <w:tcW w:w="8572" w:type="dxa"/>
            <w:gridSpan w:val="5"/>
            <w:noWrap w:val="0"/>
            <w:vAlign w:val="center"/>
          </w:tcPr>
          <w:p>
            <w:pPr>
              <w:spacing w:line="280" w:lineRule="exact"/>
              <w:rPr>
                <w:rFonts w:eastAsia="方正仿宋_GBK"/>
                <w:sz w:val="18"/>
                <w:szCs w:val="18"/>
              </w:rPr>
            </w:pPr>
            <w:r>
              <w:rPr>
                <w:rFonts w:eastAsia="方正仿宋_GBK"/>
                <w:sz w:val="18"/>
                <w:szCs w:val="18"/>
              </w:rPr>
              <w:t>□单个生产车间员工在100人以上的服装、鞋帽、玩具、食品等劳动密集型企业</w:t>
            </w:r>
            <w:r>
              <w:rPr>
                <w:rFonts w:eastAsia="方正仿宋_GBK"/>
                <w:sz w:val="18"/>
                <w:szCs w:val="18"/>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trPr>
        <w:tc>
          <w:tcPr>
            <w:tcW w:w="521" w:type="dxa"/>
            <w:vMerge w:val="continue"/>
            <w:noWrap w:val="0"/>
            <w:vAlign w:val="center"/>
          </w:tcPr>
          <w:p>
            <w:pPr>
              <w:spacing w:line="280" w:lineRule="exact"/>
              <w:rPr>
                <w:rFonts w:eastAsia="方正仿宋_GBK"/>
                <w:sz w:val="18"/>
                <w:szCs w:val="18"/>
              </w:rPr>
            </w:pPr>
          </w:p>
        </w:tc>
        <w:tc>
          <w:tcPr>
            <w:tcW w:w="8572" w:type="dxa"/>
            <w:gridSpan w:val="5"/>
            <w:noWrap w:val="0"/>
            <w:vAlign w:val="center"/>
          </w:tcPr>
          <w:p>
            <w:pPr>
              <w:adjustRightInd w:val="0"/>
              <w:snapToGrid w:val="0"/>
              <w:spacing w:line="280" w:lineRule="exact"/>
              <w:rPr>
                <w:rFonts w:eastAsia="方正仿宋_GBK"/>
                <w:sz w:val="18"/>
                <w:szCs w:val="18"/>
              </w:rPr>
            </w:pPr>
            <w:r>
              <w:rPr>
                <w:rFonts w:eastAsia="方正仿宋_GBK"/>
                <w:sz w:val="18"/>
                <w:szCs w:val="18"/>
              </w:rPr>
              <w:t>□国家和省级科研单位   □国家和省级等重点建筑工程的施工现场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trPr>
        <w:tc>
          <w:tcPr>
            <w:tcW w:w="521" w:type="dxa"/>
            <w:vMerge w:val="continue"/>
            <w:noWrap w:val="0"/>
            <w:vAlign w:val="center"/>
          </w:tcPr>
          <w:p>
            <w:pPr>
              <w:spacing w:line="280" w:lineRule="exact"/>
              <w:rPr>
                <w:rFonts w:eastAsia="方正仿宋_GBK"/>
                <w:sz w:val="18"/>
                <w:szCs w:val="18"/>
              </w:rPr>
            </w:pPr>
          </w:p>
        </w:tc>
        <w:tc>
          <w:tcPr>
            <w:tcW w:w="8572" w:type="dxa"/>
            <w:gridSpan w:val="5"/>
            <w:noWrap w:val="0"/>
            <w:vAlign w:val="center"/>
          </w:tcPr>
          <w:p>
            <w:pPr>
              <w:spacing w:line="280" w:lineRule="exact"/>
              <w:rPr>
                <w:rFonts w:eastAsia="方正仿宋_GBK"/>
                <w:sz w:val="18"/>
                <w:szCs w:val="18"/>
              </w:rPr>
            </w:pPr>
            <w:r>
              <w:rPr>
                <w:rFonts w:eastAsia="方正仿宋_GBK"/>
                <w:sz w:val="18"/>
                <w:szCs w:val="18"/>
              </w:rPr>
              <w:t xml:space="preserve">□高层公共建筑建筑高度在50米以上的办公楼（写字楼）、公寓楼等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trPr>
        <w:tc>
          <w:tcPr>
            <w:tcW w:w="521" w:type="dxa"/>
            <w:vMerge w:val="continue"/>
            <w:noWrap w:val="0"/>
            <w:vAlign w:val="center"/>
          </w:tcPr>
          <w:p>
            <w:pPr>
              <w:spacing w:line="280" w:lineRule="exact"/>
              <w:rPr>
                <w:rFonts w:eastAsia="方正仿宋_GBK"/>
                <w:sz w:val="18"/>
                <w:szCs w:val="18"/>
              </w:rPr>
            </w:pPr>
          </w:p>
        </w:tc>
        <w:tc>
          <w:tcPr>
            <w:tcW w:w="8572" w:type="dxa"/>
            <w:gridSpan w:val="5"/>
            <w:noWrap w:val="0"/>
            <w:vAlign w:val="center"/>
          </w:tcPr>
          <w:p>
            <w:pPr>
              <w:adjustRightInd w:val="0"/>
              <w:snapToGrid w:val="0"/>
              <w:spacing w:line="280" w:lineRule="exact"/>
              <w:rPr>
                <w:rFonts w:eastAsia="方正仿宋_GBK"/>
                <w:sz w:val="18"/>
                <w:szCs w:val="18"/>
              </w:rPr>
            </w:pPr>
            <w:r>
              <w:rPr>
                <w:rFonts w:eastAsia="方正仿宋_GBK"/>
                <w:sz w:val="18"/>
                <w:szCs w:val="18"/>
              </w:rPr>
              <w:t>□城市地下铁道、地下观光隧道等地下公共建筑和城市重要的交通隧道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trPr>
        <w:tc>
          <w:tcPr>
            <w:tcW w:w="521" w:type="dxa"/>
            <w:vMerge w:val="continue"/>
            <w:noWrap w:val="0"/>
            <w:vAlign w:val="center"/>
          </w:tcPr>
          <w:p>
            <w:pPr>
              <w:spacing w:line="280" w:lineRule="exact"/>
              <w:rPr>
                <w:rFonts w:eastAsia="方正仿宋_GBK"/>
                <w:sz w:val="18"/>
                <w:szCs w:val="18"/>
              </w:rPr>
            </w:pPr>
          </w:p>
        </w:tc>
        <w:tc>
          <w:tcPr>
            <w:tcW w:w="8572" w:type="dxa"/>
            <w:gridSpan w:val="5"/>
            <w:noWrap w:val="0"/>
            <w:vAlign w:val="center"/>
          </w:tcPr>
          <w:p>
            <w:pPr>
              <w:adjustRightInd w:val="0"/>
              <w:snapToGrid w:val="0"/>
              <w:spacing w:line="280" w:lineRule="exact"/>
              <w:rPr>
                <w:rFonts w:eastAsia="方正仿宋_GBK"/>
                <w:sz w:val="18"/>
                <w:szCs w:val="18"/>
              </w:rPr>
            </w:pPr>
            <w:r>
              <w:rPr>
                <w:rFonts w:eastAsia="方正仿宋_GBK"/>
                <w:sz w:val="18"/>
                <w:szCs w:val="18"/>
              </w:rPr>
              <w:t>□国家储备粮库、总储量在10000吨以上的其他粮库   □总储量在500吨以上的棉库   □总储量在10000立方米以上的木材堆场   □总储存价值在1亿元以上的可燃物品仓库、堆场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trPr>
        <w:tc>
          <w:tcPr>
            <w:tcW w:w="521" w:type="dxa"/>
            <w:vMerge w:val="continue"/>
            <w:noWrap w:val="0"/>
            <w:vAlign w:val="center"/>
          </w:tcPr>
          <w:p>
            <w:pPr>
              <w:spacing w:line="280" w:lineRule="exact"/>
              <w:rPr>
                <w:rFonts w:eastAsia="方正仿宋_GBK"/>
                <w:sz w:val="18"/>
                <w:szCs w:val="18"/>
              </w:rPr>
            </w:pPr>
          </w:p>
        </w:tc>
        <w:tc>
          <w:tcPr>
            <w:tcW w:w="8572" w:type="dxa"/>
            <w:gridSpan w:val="5"/>
            <w:noWrap w:val="0"/>
            <w:vAlign w:val="center"/>
          </w:tcPr>
          <w:p>
            <w:pPr>
              <w:adjustRightInd w:val="0"/>
              <w:snapToGrid w:val="0"/>
              <w:spacing w:line="280" w:lineRule="exact"/>
              <w:rPr>
                <w:rFonts w:eastAsia="方正仿宋_GBK"/>
                <w:sz w:val="18"/>
                <w:szCs w:val="18"/>
              </w:rPr>
            </w:pPr>
            <w:r>
              <w:rPr>
                <w:rFonts w:eastAsia="方正仿宋_GBK"/>
                <w:sz w:val="18"/>
                <w:szCs w:val="18"/>
              </w:rPr>
              <w:t>□其他发生火灾可能性较大以及一旦发生火灾可能造成人身重大伤亡或者财产重大损失的单位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9093" w:type="dxa"/>
            <w:gridSpan w:val="6"/>
            <w:noWrap w:val="0"/>
            <w:vAlign w:val="top"/>
          </w:tcPr>
          <w:p>
            <w:pPr>
              <w:spacing w:line="280" w:lineRule="exact"/>
              <w:rPr>
                <w:rFonts w:eastAsia="方正仿宋_GBK"/>
                <w:sz w:val="18"/>
                <w:szCs w:val="18"/>
              </w:rPr>
            </w:pPr>
            <w:r>
              <w:rPr>
                <w:rFonts w:eastAsia="方正仿宋_GBK"/>
                <w:sz w:val="18"/>
                <w:szCs w:val="18"/>
              </w:rPr>
              <w:t>根据《机关、团体、企业、事业单位消防安全管理规定》（公安部令第61号），我单位属于第十三条所列的范围之内，现申报备案。</w:t>
            </w:r>
          </w:p>
          <w:p>
            <w:pPr>
              <w:spacing w:line="280" w:lineRule="exact"/>
              <w:ind w:firstLine="3787" w:firstLineChars="2104"/>
              <w:rPr>
                <w:rFonts w:eastAsia="方正仿宋_GBK"/>
                <w:sz w:val="18"/>
                <w:szCs w:val="18"/>
              </w:rPr>
            </w:pPr>
            <w:r>
              <w:rPr>
                <w:rFonts w:eastAsia="方正仿宋_GBK"/>
                <w:sz w:val="18"/>
                <w:szCs w:val="18"/>
              </w:rPr>
              <w:t xml:space="preserve">                  单位（盖章）：</w:t>
            </w:r>
          </w:p>
          <w:p>
            <w:pPr>
              <w:spacing w:after="156" w:afterLines="50" w:line="280" w:lineRule="exact"/>
              <w:ind w:firstLine="437"/>
              <w:rPr>
                <w:rFonts w:eastAsia="方正仿宋_GBK"/>
                <w:sz w:val="18"/>
                <w:szCs w:val="18"/>
              </w:rPr>
            </w:pPr>
            <w:r>
              <w:rPr>
                <w:rFonts w:eastAsia="方正仿宋_GBK"/>
                <w:sz w:val="18"/>
                <w:szCs w:val="18"/>
              </w:rPr>
              <w:t xml:space="preserve">                                                 法定代表人（签字）：</w:t>
            </w:r>
          </w:p>
        </w:tc>
      </w:tr>
    </w:tbl>
    <w:p>
      <w:pPr>
        <w:spacing w:line="280" w:lineRule="exact"/>
        <w:rPr>
          <w:rFonts w:eastAsia="方正楷体_GBK"/>
          <w:sz w:val="18"/>
          <w:szCs w:val="18"/>
        </w:rPr>
        <w:sectPr>
          <w:pgSz w:w="11906" w:h="16838"/>
          <w:pgMar w:top="2098" w:right="1474" w:bottom="1440" w:left="1587" w:header="851" w:footer="992" w:gutter="0"/>
          <w:pgNumType w:fmt="decimal"/>
          <w:cols w:space="425" w:num="1"/>
          <w:docGrid w:type="lines" w:linePitch="312" w:charSpace="0"/>
        </w:sectPr>
      </w:pPr>
      <w:r>
        <w:rPr>
          <w:rFonts w:eastAsia="方正楷体_GBK"/>
          <w:sz w:val="18"/>
          <w:szCs w:val="18"/>
        </w:rPr>
        <w:t>注：1、各单位自行对照，并在申报单位属性栏内选择一项打“√”。2、公共娱乐场所是指向公众开放的下列室内场所：</w:t>
      </w:r>
      <w:r>
        <w:rPr>
          <w:rFonts w:hint="eastAsia" w:ascii="宋体" w:hAnsi="宋体" w:cs="宋体"/>
          <w:sz w:val="18"/>
          <w:szCs w:val="18"/>
        </w:rPr>
        <w:t>⑴</w:t>
      </w:r>
      <w:r>
        <w:rPr>
          <w:rFonts w:eastAsia="方正楷体_GBK"/>
          <w:sz w:val="18"/>
          <w:szCs w:val="18"/>
        </w:rPr>
        <w:t>影剧院、录像厅、礼堂等演出、放映场所；</w:t>
      </w:r>
      <w:r>
        <w:rPr>
          <w:rFonts w:hint="eastAsia" w:ascii="宋体" w:hAnsi="宋体" w:cs="宋体"/>
          <w:sz w:val="18"/>
          <w:szCs w:val="18"/>
        </w:rPr>
        <w:t>⑵</w:t>
      </w:r>
      <w:r>
        <w:rPr>
          <w:rFonts w:eastAsia="方正楷体_GBK"/>
          <w:sz w:val="18"/>
          <w:szCs w:val="18"/>
        </w:rPr>
        <w:t>舞厅、卡拉OK厅等歌舞娱乐场所；</w:t>
      </w:r>
      <w:r>
        <w:rPr>
          <w:rFonts w:hint="eastAsia" w:ascii="宋体" w:hAnsi="宋体" w:cs="宋体"/>
          <w:sz w:val="18"/>
          <w:szCs w:val="18"/>
        </w:rPr>
        <w:t>⑶</w:t>
      </w:r>
      <w:r>
        <w:rPr>
          <w:rFonts w:eastAsia="方正楷体_GBK"/>
          <w:sz w:val="18"/>
          <w:szCs w:val="18"/>
        </w:rPr>
        <w:t>具有娱乐功能的夜总会、音乐茶座和餐饮场所；</w:t>
      </w:r>
      <w:r>
        <w:rPr>
          <w:rFonts w:hint="eastAsia" w:ascii="宋体" w:hAnsi="宋体" w:cs="宋体"/>
          <w:sz w:val="18"/>
          <w:szCs w:val="18"/>
        </w:rPr>
        <w:t>⑷</w:t>
      </w:r>
      <w:r>
        <w:rPr>
          <w:rFonts w:eastAsia="方正楷体_GBK"/>
          <w:sz w:val="18"/>
          <w:szCs w:val="18"/>
        </w:rPr>
        <w:t>游艺、游乐场所；</w:t>
      </w:r>
      <w:r>
        <w:rPr>
          <w:rFonts w:hint="eastAsia" w:ascii="宋体" w:hAnsi="宋体" w:cs="宋体"/>
          <w:sz w:val="18"/>
          <w:szCs w:val="18"/>
        </w:rPr>
        <w:t>⑸</w:t>
      </w:r>
      <w:r>
        <w:rPr>
          <w:rFonts w:eastAsia="方正楷体_GBK"/>
          <w:sz w:val="18"/>
          <w:szCs w:val="18"/>
        </w:rPr>
        <w:t>保龄球馆、旱冰场、桑拿浴室等营业性健身、休闲场所；（5）表中“以上”含本数，“以下”不含本数。</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eastAsia="方正仿宋_GBK"/>
          <w:w w:val="100"/>
          <w:sz w:val="32"/>
          <w:szCs w:val="22"/>
          <w:lang w:eastAsia="zh-CN"/>
        </w:rPr>
      </w:pPr>
      <w:r>
        <w:rPr>
          <w:rFonts w:hint="default" w:ascii="Times New Roman" w:hAnsi="Times New Roman" w:eastAsia="方正仿宋_GBK" w:cs="Times New Roman"/>
          <w:sz w:val="32"/>
          <w:szCs w:val="32"/>
          <w:lang w:eastAsia="zh-CN"/>
        </w:rPr>
        <w:t>附件</w:t>
      </w:r>
      <w:r>
        <w:rPr>
          <w:rFonts w:hint="eastAsia" w:eastAsia="方正仿宋_GBK" w:cs="Times New Roman"/>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eastAsia="方正黑体_GBK"/>
          <w:sz w:val="36"/>
          <w:szCs w:val="36"/>
          <w:lang w:eastAsia="zh-CN"/>
        </w:rPr>
      </w:pPr>
      <w:r>
        <w:rPr>
          <w:rFonts w:hint="eastAsia" w:eastAsia="方正黑体_GBK"/>
          <w:sz w:val="36"/>
          <w:szCs w:val="36"/>
          <w:lang w:eastAsia="zh-CN"/>
        </w:rPr>
        <w:t>各县区消防救援大队办公地址及联系方式</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eastAsia="方正仿宋_GBK"/>
          <w:w w:val="100"/>
          <w:sz w:val="32"/>
          <w:szCs w:val="22"/>
          <w:lang w:eastAsia="zh-CN"/>
        </w:rPr>
      </w:pPr>
      <w:r>
        <w:rPr>
          <w:rFonts w:hint="eastAsia" w:eastAsia="方正仿宋_GBK"/>
          <w:w w:val="100"/>
          <w:sz w:val="32"/>
          <w:szCs w:val="22"/>
          <w:lang w:eastAsia="zh-CN"/>
        </w:rPr>
        <w:t>鼓楼区消防救援大队，地址：鼓楼区卧龙街85号，联系电话：0371-22330061，电子邮箱：gulouxiaofang119@163.com。</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eastAsia="方正仿宋_GBK"/>
          <w:w w:val="100"/>
          <w:sz w:val="32"/>
          <w:szCs w:val="22"/>
          <w:lang w:eastAsia="zh-CN"/>
        </w:rPr>
      </w:pPr>
      <w:r>
        <w:rPr>
          <w:rFonts w:hint="eastAsia" w:eastAsia="方正仿宋_GBK"/>
          <w:w w:val="100"/>
          <w:sz w:val="32"/>
          <w:szCs w:val="22"/>
          <w:lang w:eastAsia="zh-CN"/>
        </w:rPr>
        <w:t>顺河区消防救援大队，地址：顺河区新宋路72号，联系电话：0371-22029119，电子邮箱：shunhexiaofang@126.com。</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eastAsia="方正仿宋_GBK"/>
          <w:w w:val="100"/>
          <w:sz w:val="32"/>
          <w:szCs w:val="22"/>
          <w:lang w:eastAsia="zh-CN"/>
        </w:rPr>
      </w:pPr>
      <w:r>
        <w:rPr>
          <w:rFonts w:hint="eastAsia" w:eastAsia="方正仿宋_GBK"/>
          <w:w w:val="100"/>
          <w:sz w:val="32"/>
          <w:szCs w:val="22"/>
          <w:lang w:eastAsia="zh-CN"/>
        </w:rPr>
        <w:t>禹王台区消防救援大队，地址：禹王台区五一路立交桥南头，联系电话：0371-22239113，电子邮箱：ywtxfdd@163.com。</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eastAsia="方正仿宋_GBK"/>
          <w:w w:val="100"/>
          <w:sz w:val="32"/>
          <w:szCs w:val="22"/>
          <w:lang w:eastAsia="zh-CN"/>
        </w:rPr>
      </w:pPr>
      <w:r>
        <w:rPr>
          <w:rFonts w:hint="eastAsia" w:eastAsia="方正仿宋_GBK"/>
          <w:w w:val="100"/>
          <w:sz w:val="32"/>
          <w:szCs w:val="22"/>
          <w:lang w:eastAsia="zh-CN"/>
        </w:rPr>
        <w:t>龙亭区消防救援大队，地址：龙亭区东京大道与万兴苑路交叉口向北200米路西，联系电话：0371-22916119，电子邮箱：ltqxfjyd@163.com。</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eastAsia="方正仿宋_GBK"/>
          <w:w w:val="100"/>
          <w:sz w:val="32"/>
          <w:szCs w:val="22"/>
          <w:lang w:eastAsia="zh-CN"/>
        </w:rPr>
      </w:pPr>
      <w:r>
        <w:rPr>
          <w:rFonts w:hint="eastAsia" w:eastAsia="方正仿宋_GBK"/>
          <w:w w:val="100"/>
          <w:sz w:val="32"/>
          <w:szCs w:val="22"/>
          <w:lang w:eastAsia="zh-CN"/>
        </w:rPr>
        <w:t>示范区消防救援大队，地址：示范区晋安路1号，联系电话：0371-22022119，电子邮箱： jmxfdd119@163.com。</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eastAsia="方正仿宋_GBK"/>
          <w:w w:val="100"/>
          <w:sz w:val="32"/>
          <w:szCs w:val="22"/>
          <w:lang w:eastAsia="zh-CN"/>
        </w:rPr>
      </w:pPr>
      <w:r>
        <w:rPr>
          <w:rFonts w:hint="eastAsia" w:eastAsia="方正仿宋_GBK"/>
          <w:w w:val="100"/>
          <w:sz w:val="32"/>
          <w:szCs w:val="22"/>
          <w:lang w:eastAsia="zh-CN"/>
        </w:rPr>
        <w:t>开发区消防救援大队，地址：开发区三大街与金耀路交叉口向西300米路南，联系电话：13303789886，电子邮箱：3305568150@qq.com。</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eastAsia="方正仿宋_GBK"/>
          <w:w w:val="100"/>
          <w:sz w:val="32"/>
          <w:szCs w:val="22"/>
          <w:lang w:eastAsia="zh-CN"/>
        </w:rPr>
      </w:pPr>
      <w:r>
        <w:rPr>
          <w:rFonts w:hint="eastAsia" w:eastAsia="方正仿宋_GBK"/>
          <w:w w:val="100"/>
          <w:sz w:val="32"/>
          <w:szCs w:val="22"/>
          <w:lang w:eastAsia="zh-CN"/>
        </w:rPr>
        <w:t>祥符区消防救援大队，地址：祥符区上禾大道177号，联系电话：0371-26686119，电子邮箱：xiangfuxiaofang@163.com。</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eastAsia="方正仿宋_GBK"/>
          <w:w w:val="100"/>
          <w:sz w:val="32"/>
          <w:szCs w:val="22"/>
          <w:lang w:eastAsia="zh-CN"/>
        </w:rPr>
      </w:pPr>
      <w:r>
        <w:rPr>
          <w:rFonts w:hint="eastAsia" w:eastAsia="方正仿宋_GBK"/>
          <w:w w:val="100"/>
          <w:sz w:val="32"/>
          <w:szCs w:val="22"/>
          <w:lang w:eastAsia="zh-CN"/>
        </w:rPr>
        <w:t>兰考县消防救援大队，地址：兰考县迎宾路24号（供电公司对面），联系电话：0371-22322770，电子邮箱：lkxxfdd@163.com。</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eastAsia="方正仿宋_GBK"/>
          <w:w w:val="100"/>
          <w:sz w:val="32"/>
          <w:szCs w:val="22"/>
          <w:lang w:eastAsia="zh-CN"/>
        </w:rPr>
      </w:pPr>
      <w:r>
        <w:rPr>
          <w:rFonts w:hint="eastAsia" w:eastAsia="方正仿宋_GBK"/>
          <w:w w:val="100"/>
          <w:sz w:val="32"/>
          <w:szCs w:val="22"/>
          <w:lang w:eastAsia="zh-CN"/>
        </w:rPr>
        <w:t>杞县消防救援大队，地址：杞县金城大道西段（经二路与经三路之间），联系电话：0371-22770989，电子邮箱：kfqxfhw@163.com。</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eastAsia="方正仿宋_GBK"/>
          <w:w w:val="100"/>
          <w:sz w:val="32"/>
          <w:szCs w:val="22"/>
          <w:lang w:eastAsia="zh-CN"/>
        </w:rPr>
      </w:pPr>
      <w:r>
        <w:rPr>
          <w:rFonts w:hint="eastAsia" w:eastAsia="方正仿宋_GBK"/>
          <w:w w:val="100"/>
          <w:sz w:val="32"/>
          <w:szCs w:val="22"/>
          <w:lang w:eastAsia="zh-CN"/>
        </w:rPr>
        <w:t>通许县消防救援大队，地址：通许县经二路，联系电话：0371-22300119，电子邮箱：tongxu119@126.com。</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eastAsia="方正仿宋_GBK"/>
          <w:w w:val="100"/>
          <w:sz w:val="32"/>
          <w:szCs w:val="22"/>
          <w:lang w:eastAsia="zh-CN"/>
        </w:rPr>
      </w:pPr>
      <w:r>
        <w:rPr>
          <w:rFonts w:hint="eastAsia" w:eastAsia="方正仿宋_GBK"/>
          <w:w w:val="100"/>
          <w:sz w:val="32"/>
          <w:szCs w:val="22"/>
          <w:lang w:eastAsia="zh-CN"/>
        </w:rPr>
        <w:t>尉氏县消防救援大队，地址：尉氏县工业路556号，联系电话：0371-23207119，电子邮箱：q739587580@126.com。</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方正楷体_GBK"/>
          <w:sz w:val="18"/>
          <w:szCs w:val="18"/>
          <w:lang w:val="en-US" w:eastAsia="zh-CN"/>
        </w:rPr>
      </w:pPr>
    </w:p>
    <w:sectPr>
      <w:pgSz w:w="11906" w:h="16838"/>
      <w:pgMar w:top="2098"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6F5734"/>
    <w:rsid w:val="00E914DD"/>
    <w:rsid w:val="01DD4C44"/>
    <w:rsid w:val="03B15298"/>
    <w:rsid w:val="03DE729C"/>
    <w:rsid w:val="041407AC"/>
    <w:rsid w:val="05065C9A"/>
    <w:rsid w:val="0691220A"/>
    <w:rsid w:val="07CA53BB"/>
    <w:rsid w:val="08090654"/>
    <w:rsid w:val="097E0541"/>
    <w:rsid w:val="09EC2C8B"/>
    <w:rsid w:val="0A5901A6"/>
    <w:rsid w:val="0B3C282A"/>
    <w:rsid w:val="0B945526"/>
    <w:rsid w:val="0FBB0555"/>
    <w:rsid w:val="10CD258D"/>
    <w:rsid w:val="111E41B5"/>
    <w:rsid w:val="116225E5"/>
    <w:rsid w:val="11DB66E6"/>
    <w:rsid w:val="124D41DB"/>
    <w:rsid w:val="12655F2D"/>
    <w:rsid w:val="1466024D"/>
    <w:rsid w:val="150A58EF"/>
    <w:rsid w:val="16527DA3"/>
    <w:rsid w:val="18281A18"/>
    <w:rsid w:val="191A15EF"/>
    <w:rsid w:val="19D97451"/>
    <w:rsid w:val="1A206FC4"/>
    <w:rsid w:val="1A346E88"/>
    <w:rsid w:val="1A4618EE"/>
    <w:rsid w:val="1B7856D4"/>
    <w:rsid w:val="1B9334C8"/>
    <w:rsid w:val="1BEC0C38"/>
    <w:rsid w:val="1C825F8B"/>
    <w:rsid w:val="1C8C34B0"/>
    <w:rsid w:val="1CDA24C5"/>
    <w:rsid w:val="1F614994"/>
    <w:rsid w:val="2029551E"/>
    <w:rsid w:val="206E0CC8"/>
    <w:rsid w:val="20906B89"/>
    <w:rsid w:val="20935C08"/>
    <w:rsid w:val="21626000"/>
    <w:rsid w:val="219C7066"/>
    <w:rsid w:val="220B6970"/>
    <w:rsid w:val="222155FB"/>
    <w:rsid w:val="23136F4E"/>
    <w:rsid w:val="24091E72"/>
    <w:rsid w:val="24F1703E"/>
    <w:rsid w:val="262F7191"/>
    <w:rsid w:val="26CC0532"/>
    <w:rsid w:val="27CF33B3"/>
    <w:rsid w:val="289A077D"/>
    <w:rsid w:val="2ABC00D7"/>
    <w:rsid w:val="2BC34B41"/>
    <w:rsid w:val="2C6351B4"/>
    <w:rsid w:val="2D1D7D30"/>
    <w:rsid w:val="2DBA60BA"/>
    <w:rsid w:val="2F19146F"/>
    <w:rsid w:val="30FD7AA0"/>
    <w:rsid w:val="32076BA4"/>
    <w:rsid w:val="32D63502"/>
    <w:rsid w:val="336F5734"/>
    <w:rsid w:val="34462DD2"/>
    <w:rsid w:val="34F131E5"/>
    <w:rsid w:val="36723572"/>
    <w:rsid w:val="397E520D"/>
    <w:rsid w:val="39836FCD"/>
    <w:rsid w:val="39A33791"/>
    <w:rsid w:val="39FE0E52"/>
    <w:rsid w:val="3AE166AE"/>
    <w:rsid w:val="3B9F3149"/>
    <w:rsid w:val="3C101E61"/>
    <w:rsid w:val="3CD22F39"/>
    <w:rsid w:val="3D04094E"/>
    <w:rsid w:val="3FAA7FD3"/>
    <w:rsid w:val="3FD47D94"/>
    <w:rsid w:val="40FC631F"/>
    <w:rsid w:val="44627D8C"/>
    <w:rsid w:val="473A2165"/>
    <w:rsid w:val="473D0B34"/>
    <w:rsid w:val="476967E3"/>
    <w:rsid w:val="47D573A5"/>
    <w:rsid w:val="49311545"/>
    <w:rsid w:val="4AE94A53"/>
    <w:rsid w:val="4BEA5BE6"/>
    <w:rsid w:val="4F086DAA"/>
    <w:rsid w:val="4F7D6559"/>
    <w:rsid w:val="50237ED4"/>
    <w:rsid w:val="57502FE0"/>
    <w:rsid w:val="57701FC4"/>
    <w:rsid w:val="57A06259"/>
    <w:rsid w:val="59945D01"/>
    <w:rsid w:val="59C46E45"/>
    <w:rsid w:val="5E503480"/>
    <w:rsid w:val="5FF339D7"/>
    <w:rsid w:val="60653ECE"/>
    <w:rsid w:val="60AF5A35"/>
    <w:rsid w:val="60C078A5"/>
    <w:rsid w:val="61910F38"/>
    <w:rsid w:val="62E5276B"/>
    <w:rsid w:val="630545B8"/>
    <w:rsid w:val="644271CB"/>
    <w:rsid w:val="644360F7"/>
    <w:rsid w:val="67147F3B"/>
    <w:rsid w:val="68E64D50"/>
    <w:rsid w:val="68F14ED9"/>
    <w:rsid w:val="6DEC2A6B"/>
    <w:rsid w:val="70D76188"/>
    <w:rsid w:val="70E36BD3"/>
    <w:rsid w:val="72701344"/>
    <w:rsid w:val="72C26283"/>
    <w:rsid w:val="76DE70A1"/>
    <w:rsid w:val="771335C7"/>
    <w:rsid w:val="79784D2E"/>
    <w:rsid w:val="7B2E5210"/>
    <w:rsid w:val="7B961621"/>
    <w:rsid w:val="7D2250F8"/>
    <w:rsid w:val="7D901B9B"/>
    <w:rsid w:val="7E810F42"/>
    <w:rsid w:val="7ED03A6B"/>
    <w:rsid w:val="7F5D04B0"/>
    <w:rsid w:val="7F735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FollowedHyperlink"/>
    <w:basedOn w:val="5"/>
    <w:uiPriority w:val="0"/>
    <w:rPr>
      <w:color w:val="000000"/>
      <w:sz w:val="14"/>
      <w:szCs w:val="14"/>
      <w:u w:val="none"/>
    </w:rPr>
  </w:style>
  <w:style w:type="character" w:styleId="7">
    <w:name w:val="Hyperlink"/>
    <w:basedOn w:val="5"/>
    <w:uiPriority w:val="0"/>
    <w:rPr>
      <w:color w:val="000000"/>
      <w:sz w:val="14"/>
      <w:szCs w:val="14"/>
      <w:u w:val="none"/>
    </w:rPr>
  </w:style>
  <w:style w:type="character" w:customStyle="1" w:styleId="8">
    <w:name w:val="spr"/>
    <w:basedOn w:val="5"/>
    <w:uiPriority w:val="0"/>
  </w:style>
  <w:style w:type="character" w:customStyle="1" w:styleId="9">
    <w:name w:val="spr1"/>
    <w:basedOn w:val="5"/>
    <w:uiPriority w:val="0"/>
  </w:style>
  <w:style w:type="character" w:customStyle="1" w:styleId="10">
    <w:name w:val="spl"/>
    <w:basedOn w:val="5"/>
    <w:uiPriority w:val="0"/>
    <w:rPr>
      <w:color w:val="474646"/>
      <w:sz w:val="18"/>
      <w:szCs w:val="18"/>
    </w:rPr>
  </w:style>
  <w:style w:type="character" w:customStyle="1" w:styleId="11">
    <w:name w:val="spl1"/>
    <w:basedOn w:val="5"/>
    <w:uiPriority w:val="0"/>
    <w:rPr>
      <w:color w:val="474646"/>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287</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2023-05-04T01:10:00Z</dcterms:created>
  <dc:creator>Administrator</dc:creator>
  <cp:lastModifiedBy>Administrator</cp:lastModifiedBy>
  <cp:lastPrinted>2023-05-04T02:16:00Z</cp:lastPrinted>
  <dcterms:modified xsi:type="dcterms:W3CDTF">2023-05-06T08:37:29Z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BF5DF8D3B1004E9C84FD7E654FC0F42E</vt:lpwstr>
  </property>
</Properties>
</file>